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C50EEA" w14:paraId="6ECBBFE0" w14:textId="77777777" w:rsidTr="00F1547D">
        <w:tc>
          <w:tcPr>
            <w:tcW w:w="1668" w:type="dxa"/>
          </w:tcPr>
          <w:p w14:paraId="683D0DDD" w14:textId="77777777"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14:paraId="0949C9B4" w14:textId="77777777"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98CEB24" w14:textId="1A7D056F" w:rsidR="008A1FFF" w:rsidRDefault="006322E1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1654CF99" wp14:editId="6919B68C">
            <wp:extent cx="618490" cy="5975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573CF" w14:textId="77777777" w:rsidR="008A1FFF" w:rsidRPr="00016A83" w:rsidRDefault="006322E1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14:paraId="0DD89ABA" w14:textId="77777777" w:rsidR="008A1FFF" w:rsidRPr="00016A83" w:rsidRDefault="006322E1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14:paraId="49B492D5" w14:textId="77777777" w:rsidR="008A1FFF" w:rsidRDefault="008A1FFF" w:rsidP="00877AFC">
      <w:pPr>
        <w:jc w:val="center"/>
        <w:rPr>
          <w:b/>
          <w:bCs/>
          <w:sz w:val="32"/>
          <w:szCs w:val="32"/>
        </w:rPr>
      </w:pPr>
    </w:p>
    <w:p w14:paraId="2F71D73D" w14:textId="77777777" w:rsidR="000B1CD1" w:rsidRDefault="006322E1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14:paraId="3D5AFB2E" w14:textId="77777777" w:rsidR="000B1CD1" w:rsidRDefault="006322E1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14:paraId="6662DA24" w14:textId="77777777" w:rsidR="000B1CD1" w:rsidRPr="001A788B" w:rsidRDefault="000B1CD1" w:rsidP="00877AFC">
      <w:pPr>
        <w:jc w:val="center"/>
        <w:rPr>
          <w:b/>
          <w:sz w:val="32"/>
          <w:szCs w:val="32"/>
        </w:rPr>
      </w:pPr>
    </w:p>
    <w:p w14:paraId="79578D63" w14:textId="77777777" w:rsidR="000B1CD1" w:rsidRPr="0056539E" w:rsidRDefault="000B1CD1">
      <w:pPr>
        <w:rPr>
          <w:sz w:val="32"/>
          <w:szCs w:val="32"/>
        </w:rPr>
      </w:pPr>
    </w:p>
    <w:p w14:paraId="2ED807E7" w14:textId="77777777" w:rsidR="000B1CD1" w:rsidRPr="0056539E" w:rsidRDefault="000B1CD1">
      <w:pPr>
        <w:rPr>
          <w:sz w:val="32"/>
          <w:szCs w:val="32"/>
        </w:rPr>
      </w:pPr>
    </w:p>
    <w:p w14:paraId="30B3E2FD" w14:textId="77777777" w:rsidR="000B1CD1" w:rsidRDefault="006322E1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27/09/2023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017D4FD" w14:textId="77777777" w:rsidR="000B1CD1" w:rsidRDefault="006322E1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1381</w:t>
      </w:r>
      <w:r>
        <w:rPr>
          <w:sz w:val="30"/>
          <w:szCs w:val="30"/>
        </w:rPr>
        <w:t xml:space="preserve"> </w:t>
      </w:r>
    </w:p>
    <w:p w14:paraId="2D528F8E" w14:textId="77777777" w:rsidR="000B1CD1" w:rsidRPr="00564580" w:rsidRDefault="006322E1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14:paraId="535A036B" w14:textId="77777777" w:rsidR="000B1CD1" w:rsidRPr="0056539E" w:rsidRDefault="000B1CD1">
      <w:pPr>
        <w:rPr>
          <w:sz w:val="30"/>
          <w:szCs w:val="30"/>
        </w:rPr>
      </w:pPr>
    </w:p>
    <w:p w14:paraId="3F41F644" w14:textId="77777777" w:rsidR="000B1CD1" w:rsidRPr="0056539E" w:rsidRDefault="000B1CD1">
      <w:pPr>
        <w:rPr>
          <w:sz w:val="30"/>
          <w:szCs w:val="30"/>
        </w:rPr>
      </w:pPr>
    </w:p>
    <w:p w14:paraId="609152BD" w14:textId="77777777" w:rsidR="000B1CD1" w:rsidRPr="0056539E" w:rsidRDefault="000B1CD1">
      <w:pPr>
        <w:rPr>
          <w:sz w:val="30"/>
          <w:szCs w:val="30"/>
        </w:rPr>
      </w:pPr>
    </w:p>
    <w:p w14:paraId="421FF3CD" w14:textId="77777777" w:rsidR="000B1CD1" w:rsidRPr="001D183D" w:rsidRDefault="006322E1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>FORNITURA DI URETERORENOSCOPI FLESSIBILI DIGITALI MONOUSO PER L'ENDOSCOPIA DELL'ALTA VIA URINARIA OCCORRENTI PER MESI TRENTASEI - S.C. UROLOGIA - GARA N. 9126860 - CIG N. 9855800F70. AFFIDAMENTO DIRETTO PREVIA CONSULTAZIONE DI PIU' OPERATORI ECONOMICI SULLA PIATTAFORMA DI NEGOZIAZIONE MEPA.</w:t>
      </w:r>
    </w:p>
    <w:p w14:paraId="5ED8E2D3" w14:textId="77777777" w:rsidR="000B1CD1" w:rsidRPr="0056539E" w:rsidRDefault="000B1CD1">
      <w:pPr>
        <w:rPr>
          <w:b/>
          <w:sz w:val="26"/>
          <w:szCs w:val="26"/>
        </w:rPr>
      </w:pPr>
    </w:p>
    <w:p w14:paraId="4182B34F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4E25C4CD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19FBC3EB" w14:textId="77777777" w:rsidR="000B1CD1" w:rsidRPr="00CB1CB3" w:rsidRDefault="006322E1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27/09/2023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14:paraId="6A97C0DF" w14:textId="77777777" w:rsidR="000B1CD1" w:rsidRPr="0056539E" w:rsidRDefault="000B1CD1">
      <w:pPr>
        <w:rPr>
          <w:sz w:val="26"/>
          <w:szCs w:val="26"/>
        </w:rPr>
      </w:pPr>
    </w:p>
    <w:p w14:paraId="5ACF152F" w14:textId="77777777" w:rsidR="000B1CD1" w:rsidRPr="0056539E" w:rsidRDefault="000B1CD1">
      <w:pPr>
        <w:rPr>
          <w:sz w:val="26"/>
          <w:szCs w:val="26"/>
        </w:rPr>
      </w:pPr>
    </w:p>
    <w:p w14:paraId="556C94AC" w14:textId="77777777" w:rsidR="000B1CD1" w:rsidRPr="0056539E" w:rsidRDefault="000B1CD1">
      <w:pPr>
        <w:rPr>
          <w:sz w:val="26"/>
          <w:szCs w:val="26"/>
        </w:rPr>
      </w:pPr>
    </w:p>
    <w:p w14:paraId="41907A34" w14:textId="77777777" w:rsidR="000B1CD1" w:rsidRPr="001A788B" w:rsidRDefault="006322E1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</w:t>
      </w:r>
      <w:r w:rsidRPr="001A788B">
        <w:rPr>
          <w:b/>
          <w:noProof/>
          <w:sz w:val="30"/>
          <w:szCs w:val="30"/>
        </w:rPr>
        <w:t xml:space="preserve">SERVIZI </w:t>
      </w:r>
    </w:p>
    <w:p w14:paraId="5EACF00F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2B82611E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43D4846E" w14:textId="77777777" w:rsidR="000B1CD1" w:rsidRPr="001A788B" w:rsidRDefault="006322E1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>Vista la Deliberazione di Giunta Regionale n. 31-6712 del 4 aprile 2023 ad oggetto: “</w:t>
      </w:r>
      <w:r w:rsidRPr="001A788B">
        <w:rPr>
          <w:i/>
          <w:sz w:val="26"/>
          <w:szCs w:val="26"/>
        </w:rPr>
        <w:t>AO Santa Croce e Carle di Cuneo – nomina Commissario</w:t>
      </w:r>
      <w:r w:rsidRPr="001A788B">
        <w:rPr>
          <w:sz w:val="26"/>
          <w:szCs w:val="26"/>
        </w:rPr>
        <w:t>”;</w:t>
      </w:r>
    </w:p>
    <w:p w14:paraId="4AE94335" w14:textId="77777777" w:rsidR="000B1CD1" w:rsidRPr="001A788B" w:rsidRDefault="000B1CD1" w:rsidP="00387256">
      <w:pPr>
        <w:ind w:left="284"/>
        <w:jc w:val="both"/>
        <w:rPr>
          <w:sz w:val="26"/>
          <w:szCs w:val="26"/>
        </w:rPr>
      </w:pPr>
    </w:p>
    <w:p w14:paraId="71C41A86" w14:textId="77777777" w:rsidR="000B1CD1" w:rsidRDefault="006322E1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vista la deliberazione n. 223 del 3 maggio 2023 riguardante la regolamentazione interna per l'adozione </w:t>
      </w:r>
      <w:r w:rsidRPr="001A788B">
        <w:rPr>
          <w:sz w:val="26"/>
          <w:szCs w:val="26"/>
        </w:rPr>
        <w:t>degli atti e provvedimenti dei responsabili dei servizi;</w:t>
      </w:r>
    </w:p>
    <w:p w14:paraId="0B3A7175" w14:textId="77777777" w:rsidR="00CC338F" w:rsidRDefault="00CC338F" w:rsidP="00CC338F">
      <w:pPr>
        <w:pStyle w:val="Paragrafoelenco"/>
        <w:rPr>
          <w:sz w:val="26"/>
          <w:szCs w:val="26"/>
        </w:rPr>
      </w:pPr>
    </w:p>
    <w:p w14:paraId="5C1F42D6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dato atto che la procedura oggetto del presente atto è stata avviata – rif. prot. n. 19920/CC/AS del 30/05/2023 – in corso di vigenza del Decreto Legislativo 18 aprile 2016, n. 50 “Codice dei contra</w:t>
      </w:r>
      <w:r>
        <w:rPr>
          <w:sz w:val="26"/>
          <w:szCs w:val="26"/>
        </w:rPr>
        <w:t>tti pubblici” e s.m.i.;</w:t>
      </w:r>
    </w:p>
    <w:p w14:paraId="3653E176" w14:textId="77777777" w:rsidR="00CC338F" w:rsidRDefault="00CC338F" w:rsidP="00CC338F">
      <w:pPr>
        <w:ind w:left="284"/>
        <w:jc w:val="both"/>
        <w:rPr>
          <w:sz w:val="26"/>
          <w:szCs w:val="26"/>
        </w:rPr>
      </w:pPr>
    </w:p>
    <w:p w14:paraId="4AFD3DEA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richiamato al riguardo altresì il Decreto Legge </w:t>
      </w:r>
      <w:smartTag w:uri="urn:schemas-microsoft-com:office:smarttags" w:element="date">
        <w:smartTagPr>
          <w:attr w:name="Day" w:val="10"/>
          <w:attr w:name="Month" w:val="01"/>
          <w:attr w:name="Year" w:val="60"/>
          <w:attr w:name="ls" w:val="trans"/>
        </w:smartTagPr>
        <w:r>
          <w:rPr>
            <w:sz w:val="26"/>
            <w:szCs w:val="26"/>
          </w:rPr>
          <w:t>16 luglio 2020</w:t>
        </w:r>
      </w:smartTag>
      <w:r>
        <w:rPr>
          <w:sz w:val="26"/>
          <w:szCs w:val="26"/>
        </w:rPr>
        <w:t xml:space="preserve">, n.76 “Misure urgenti per la semplificazione e l’innovazione digitale” così come convertito nella Legge </w:t>
      </w:r>
      <w:smartTag w:uri="urn:schemas-microsoft-com:office:smarttags" w:element="date">
        <w:smartTagPr>
          <w:attr w:name="Day" w:val="10"/>
          <w:attr w:name="Month" w:val="01"/>
          <w:attr w:name="Year" w:val="60"/>
          <w:attr w:name="ls" w:val="trans"/>
        </w:smartTagPr>
        <w:r>
          <w:rPr>
            <w:sz w:val="26"/>
            <w:szCs w:val="26"/>
          </w:rPr>
          <w:t>11 settembre 2020</w:t>
        </w:r>
      </w:smartTag>
      <w:r>
        <w:rPr>
          <w:sz w:val="26"/>
          <w:szCs w:val="26"/>
        </w:rPr>
        <w:t xml:space="preserve">, n.120 e richiamato in particolare l’art.1 </w:t>
      </w:r>
      <w:r>
        <w:rPr>
          <w:sz w:val="26"/>
          <w:szCs w:val="26"/>
        </w:rPr>
        <w:t>comma 2 lett. b) nonché il D.L. n.77/2021 convertito nella legge n.108/2021;</w:t>
      </w:r>
    </w:p>
    <w:p w14:paraId="703D0FDF" w14:textId="77777777" w:rsidR="00CC338F" w:rsidRDefault="00CC338F" w:rsidP="00CC338F">
      <w:pPr>
        <w:pStyle w:val="Paragrafoelenco"/>
        <w:rPr>
          <w:sz w:val="26"/>
          <w:szCs w:val="26"/>
        </w:rPr>
      </w:pPr>
    </w:p>
    <w:p w14:paraId="7196E45B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visti gli artt. 224, 225 e 226 del Decreto Legislativo 31 marzo 2023, n.36 “Codice dei Contratti Pubblici in attuazione dell’art.1 della legge 21 giugno 2022, n.78, recante deleg</w:t>
      </w:r>
      <w:r>
        <w:rPr>
          <w:sz w:val="26"/>
          <w:szCs w:val="26"/>
        </w:rPr>
        <w:t>a al Governo in materia di contratti pubblici” e in particolare il comma 2 dell’art. 226 del Codice sopra richiamato che tra l’altro così recita:</w:t>
      </w:r>
    </w:p>
    <w:p w14:paraId="44C36B1F" w14:textId="77777777" w:rsidR="00CC338F" w:rsidRDefault="006322E1" w:rsidP="00CC338F">
      <w:pPr>
        <w:pStyle w:val="Paragrafoelenco"/>
        <w:numPr>
          <w:ilvl w:val="0"/>
          <w:numId w:val="7"/>
        </w:numPr>
        <w:ind w:hanging="782"/>
        <w:jc w:val="both"/>
        <w:rPr>
          <w:sz w:val="26"/>
          <w:szCs w:val="26"/>
        </w:rPr>
      </w:pPr>
      <w:r>
        <w:rPr>
          <w:sz w:val="26"/>
          <w:szCs w:val="26"/>
        </w:rPr>
        <w:t>Le disposizioni di cui al Decreto Legislativo 18 aprile 2016, n. 50 continuano ad applicarsi esclusivamente ai</w:t>
      </w:r>
      <w:r>
        <w:rPr>
          <w:sz w:val="26"/>
          <w:szCs w:val="26"/>
        </w:rPr>
        <w:t xml:space="preserve"> procedimenti in corso;</w:t>
      </w:r>
    </w:p>
    <w:p w14:paraId="17F16C0A" w14:textId="77777777" w:rsidR="00CC338F" w:rsidRDefault="00CC338F" w:rsidP="00CC338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3CA8511" w14:textId="26AF8441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occorre garantire alla S.C. Urologia la fornitura per mesi trentasei di ureterorenoscopi flessibili digitali monouso per l’endoscopia dell’alta via urinaria</w:t>
      </w:r>
      <w:r w:rsidR="009356EC">
        <w:rPr>
          <w:sz w:val="26"/>
          <w:szCs w:val="26"/>
        </w:rPr>
        <w:t>;</w:t>
      </w:r>
    </w:p>
    <w:p w14:paraId="2B5F90F4" w14:textId="77777777" w:rsidR="00CC338F" w:rsidRDefault="00CC338F" w:rsidP="00CC338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C48A7D3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D.P.C.M. 11 luglio 2018 "Individuazione de</w:t>
      </w:r>
      <w:r>
        <w:rPr>
          <w:sz w:val="26"/>
          <w:szCs w:val="26"/>
        </w:rPr>
        <w:t>lle categorie merceologiche, ai sensi dell'articolo 9, comma 3, del decreto-legge 24 aprile 2014, n.66, convertito, con modificazioni, dalla legge 23 luglio 2014, n. 89" (G.U. n. 189 del 16/08/2018) e dato atto che i prodotti oggetto del presente provvedim</w:t>
      </w:r>
      <w:r>
        <w:rPr>
          <w:sz w:val="26"/>
          <w:szCs w:val="26"/>
        </w:rPr>
        <w:t>ento non rientrano nelle relative categorie merceologiche;</w:t>
      </w:r>
    </w:p>
    <w:p w14:paraId="5A5B128E" w14:textId="77777777" w:rsidR="00CC338F" w:rsidRDefault="00CC338F" w:rsidP="00CC3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E3C7AC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disponibili Accordi Quadro o Convenzioni attivate da CONSIP S.p.A. ovvero dalla Centrale di Committenza Regionale – S.C.R. Piemont</w:t>
      </w:r>
      <w:r>
        <w:rPr>
          <w:sz w:val="26"/>
          <w:szCs w:val="26"/>
        </w:rPr>
        <w:t>e S.p.A.;</w:t>
      </w:r>
    </w:p>
    <w:p w14:paraId="276FF584" w14:textId="77777777" w:rsidR="00CC338F" w:rsidRDefault="00CC338F" w:rsidP="00CC338F">
      <w:pPr>
        <w:ind w:left="284"/>
        <w:jc w:val="both"/>
        <w:rPr>
          <w:sz w:val="26"/>
          <w:szCs w:val="26"/>
        </w:rPr>
      </w:pPr>
    </w:p>
    <w:p w14:paraId="0D2A8F50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con richiesta d’offerta prot. n. 19920/CC/AS del 30/05/2023 (Gara n. 9126860 – CIG n. 9855800F70) è stata pertanto avviata, utilizzando il portale </w:t>
      </w:r>
      <w:hyperlink r:id="rId9" w:history="1">
        <w:r>
          <w:rPr>
            <w:rStyle w:val="Collegamentoipertestuale"/>
          </w:rPr>
          <w:t>www.acquistinretepa.it</w:t>
        </w:r>
      </w:hyperlink>
      <w:r>
        <w:rPr>
          <w:sz w:val="26"/>
          <w:szCs w:val="26"/>
        </w:rPr>
        <w:t xml:space="preserve"> messo a dispos</w:t>
      </w:r>
      <w:r>
        <w:rPr>
          <w:sz w:val="26"/>
          <w:szCs w:val="26"/>
        </w:rPr>
        <w:t>izione dalla CONSIP S.p.a. (Legge 23/12/1999 n. 488 s.m.i.), una procedura di affidamento diretto – ai sensi della sopra citata normativa in materia di appalti di valore inferiore alla soglia comunitaria (RDO 3591683) e con il criterio dell’offerta economi</w:t>
      </w:r>
      <w:r>
        <w:rPr>
          <w:sz w:val="26"/>
          <w:szCs w:val="26"/>
        </w:rPr>
        <w:t>camente più vantaggiosa, interpellando tutti i fornitori del Mercato Elettronico della Pubblica Amministrazione (Mepa) abilitati alla Categoria “dispositivi e prodotti medici vari” e che contestualmente sul sito web di questa Azienda Ospedaliera è stato ri</w:t>
      </w:r>
      <w:r>
        <w:rPr>
          <w:sz w:val="26"/>
          <w:szCs w:val="26"/>
        </w:rPr>
        <w:t>portato il correlato “avviso di pubblicazione sul Mercato Elettronico-MEPA”;</w:t>
      </w:r>
    </w:p>
    <w:p w14:paraId="34C8B90B" w14:textId="77777777" w:rsidR="00CC338F" w:rsidRDefault="00CC338F" w:rsidP="00CC338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6FB1B1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d’offerta sopra citata le Ditte E.F.M. Emanuele Fiore Mancini S.r.l. di Palermo, KARL STORZ Endoscopia Italia S.r.l. di Bolzano</w:t>
      </w:r>
      <w:r>
        <w:rPr>
          <w:sz w:val="26"/>
          <w:szCs w:val="26"/>
        </w:rPr>
        <w:t>, LCF SERVICE S.r.l. di Potenza, NEOS MEDICA S.r.l. di Milano, PIRINOLI ENRICO &amp; C. S.r.l. di Torino e POLIMED S.r.l. di Morano sul Po (AL);</w:t>
      </w:r>
    </w:p>
    <w:p w14:paraId="1328277E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considerato che </w:t>
      </w:r>
      <w:smartTag w:uri="urn:schemas-microsoft-com:office:smarttags" w:element="metricconverter">
        <w:smartTagPr>
          <w:attr w:name="ProductID" w:val="91.532,00 a"/>
        </w:smartTagPr>
        <w:r>
          <w:rPr>
            <w:sz w:val="26"/>
            <w:szCs w:val="26"/>
          </w:rPr>
          <w:t>la Commissione Giudicatrice</w:t>
        </w:r>
      </w:smartTag>
      <w:r>
        <w:rPr>
          <w:sz w:val="26"/>
          <w:szCs w:val="26"/>
        </w:rPr>
        <w:t>, appositamente nominata con determinazione n. 1003 del 07/07/2023, ha p</w:t>
      </w:r>
      <w:r>
        <w:rPr>
          <w:sz w:val="26"/>
          <w:szCs w:val="26"/>
        </w:rPr>
        <w:t>rovveduto ad esaminare le offerte pervenute tenendo conto dei parametri di valutazione tecnica previsti nella disciplina di gara, così come risulta dal I verbale del 01/08/2023 e dal II verbale del 26/09/2023 conservati agli atti;</w:t>
      </w:r>
    </w:p>
    <w:p w14:paraId="067FCB44" w14:textId="77777777" w:rsidR="00CC338F" w:rsidRDefault="00CC338F" w:rsidP="00CC338F">
      <w:pPr>
        <w:ind w:left="284"/>
        <w:jc w:val="both"/>
        <w:rPr>
          <w:sz w:val="26"/>
          <w:szCs w:val="26"/>
        </w:rPr>
      </w:pPr>
    </w:p>
    <w:p w14:paraId="6FA5B5E9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che nel giorn</w:t>
      </w:r>
      <w:r>
        <w:rPr>
          <w:sz w:val="26"/>
          <w:szCs w:val="26"/>
        </w:rPr>
        <w:t xml:space="preserve">o 27/09/2023  sono state aperte sul portale </w:t>
      </w:r>
      <w:hyperlink r:id="rId10" w:history="1">
        <w:r>
          <w:rPr>
            <w:rStyle w:val="Collegamentoipertestuale"/>
          </w:rPr>
          <w:t>www.acquistinretepa.it</w:t>
        </w:r>
      </w:hyperlink>
      <w:r>
        <w:rPr>
          <w:sz w:val="26"/>
          <w:szCs w:val="26"/>
        </w:rPr>
        <w:t xml:space="preserve"> le buste contenenti le offerte economiche delle Ditte LCF SERVICE S.r.l. di Potenza, NEOS MEDICA S.r.l. di Milano e POLIMED S.r.l. di Morano s</w:t>
      </w:r>
      <w:r>
        <w:rPr>
          <w:sz w:val="26"/>
          <w:szCs w:val="26"/>
        </w:rPr>
        <w:t xml:space="preserve">ul Po (AL) e che, sulla base della sommatoria del punteggio assegnato dalla Commissione Giudicatrice al parametro di valutazione “caratteristiche tecnico-qualitative” e del punteggio al parametro “Prezzo”, si rileva la seguente graduatoria finale: </w:t>
      </w:r>
    </w:p>
    <w:p w14:paraId="43408D0D" w14:textId="77777777" w:rsidR="00CC338F" w:rsidRDefault="00CC338F" w:rsidP="00CC338F">
      <w:pPr>
        <w:pStyle w:val="Paragrafoelenco"/>
        <w:rPr>
          <w:sz w:val="26"/>
          <w:szCs w:val="26"/>
        </w:rPr>
      </w:pPr>
    </w:p>
    <w:tbl>
      <w:tblPr>
        <w:tblW w:w="936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7"/>
        <w:gridCol w:w="2268"/>
        <w:gridCol w:w="1984"/>
        <w:gridCol w:w="1421"/>
      </w:tblGrid>
      <w:tr w:rsidR="00C50EEA" w14:paraId="6230A0F4" w14:textId="77777777" w:rsidTr="00CC338F">
        <w:trPr>
          <w:cantSplit/>
          <w:trHeight w:val="979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00AA9" w14:textId="77777777" w:rsidR="00CC338F" w:rsidRDefault="00CC33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AE31" w14:textId="77777777" w:rsidR="00CC338F" w:rsidRDefault="00CC33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085B81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“Caratteristiche tecnico-qualitative”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8AB2534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“Prezzo”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8BEFE5A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         totale</w:t>
            </w:r>
          </w:p>
        </w:tc>
      </w:tr>
      <w:tr w:rsidR="00C50EEA" w14:paraId="46E4F9E3" w14:textId="77777777" w:rsidTr="00CC338F">
        <w:trPr>
          <w:cantSplit/>
          <w:trHeight w:val="7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9DCF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1^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00FE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Ditta POLIMED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E3D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DC52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  <w:p w14:paraId="5500E777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(Euro 175.950,00)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AA7B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90,52</w:t>
            </w:r>
          </w:p>
        </w:tc>
      </w:tr>
      <w:tr w:rsidR="00C50EEA" w14:paraId="00FA0FE1" w14:textId="77777777" w:rsidTr="00CC338F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6510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A5B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Ditta LCF SERVICE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9334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0C55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28,30</w:t>
            </w:r>
          </w:p>
          <w:p w14:paraId="178CD593" w14:textId="77777777" w:rsidR="00CC338F" w:rsidRDefault="006322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(Euro 139.995,00)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20D4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68,30</w:t>
            </w:r>
          </w:p>
        </w:tc>
      </w:tr>
      <w:tr w:rsidR="00C50EEA" w14:paraId="0F5BFF08" w14:textId="77777777" w:rsidTr="00CC338F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DA52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3^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3C60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Ditta NEOS MEDICA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2A3E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7C64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2BD1E970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(Euro 132.064,50)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30C0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C50EEA" w14:paraId="25045BDC" w14:textId="77777777" w:rsidTr="00CC338F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A21B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B99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Ditta KARL STORZ Endoscopia Italia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4BD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Esclusa (*)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DD6D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857A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</w:t>
            </w:r>
          </w:p>
        </w:tc>
      </w:tr>
      <w:tr w:rsidR="00C50EEA" w14:paraId="4F31911A" w14:textId="77777777" w:rsidTr="00CC338F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C5CA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9911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Ditta PIRINOLI ENRICO &amp; C.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1457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Esclusa (*)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2E7C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45EE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</w:t>
            </w:r>
          </w:p>
        </w:tc>
      </w:tr>
      <w:tr w:rsidR="00C50EEA" w14:paraId="3170241E" w14:textId="77777777" w:rsidTr="00CC338F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83E3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7574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Ditta E.F.M. Emanuele Fiore </w:t>
            </w:r>
            <w:r>
              <w:rPr>
                <w:sz w:val="24"/>
                <w:szCs w:val="24"/>
              </w:rPr>
              <w:t>Mancini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C2C1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Esclusa (**)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10E6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1687" w14:textId="77777777" w:rsidR="00CC338F" w:rsidRDefault="006322E1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</w:t>
            </w:r>
          </w:p>
        </w:tc>
      </w:tr>
    </w:tbl>
    <w:p w14:paraId="36265C08" w14:textId="77777777" w:rsidR="00CC338F" w:rsidRDefault="00CC338F" w:rsidP="00CC338F">
      <w:pPr>
        <w:jc w:val="both"/>
        <w:rPr>
          <w:sz w:val="26"/>
          <w:szCs w:val="26"/>
        </w:rPr>
      </w:pPr>
    </w:p>
    <w:p w14:paraId="78A55D2B" w14:textId="77777777" w:rsidR="00CC338F" w:rsidRDefault="006322E1" w:rsidP="00CC338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(*) Le Ditte KARL STORZ Endoscopia Italia S.r.l. e PIRINOLI ENRICO &amp; C. S.r.l. risultano escluse come da I verbale della Commissione Giudicatrice del 01/08/2023.</w:t>
      </w:r>
    </w:p>
    <w:p w14:paraId="7AF438A6" w14:textId="77777777" w:rsidR="00CC338F" w:rsidRDefault="006322E1" w:rsidP="00CC338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2E263A" w14:textId="77777777" w:rsidR="00CC338F" w:rsidRDefault="006322E1" w:rsidP="00CC338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(**) La ditta E.F.M. Emanuele Fiore Mancini risulta </w:t>
      </w:r>
      <w:r>
        <w:rPr>
          <w:sz w:val="24"/>
          <w:szCs w:val="24"/>
        </w:rPr>
        <w:t>esclusa in quanto non ha garantito la prova della campionatura come espressamente richiesto con note prot. n. 27429 del 02/08/2023, n. 28200 del 09/08/2023 e n. 28569 del 11/08/2023 trasmesse a mezzo PEC e inoltre poichè risulta impossibile esprimere valut</w:t>
      </w:r>
      <w:r>
        <w:rPr>
          <w:sz w:val="24"/>
          <w:szCs w:val="24"/>
        </w:rPr>
        <w:t>azioni tecniche, indispensabili per individuare la Ditta aggiudicataria.</w:t>
      </w:r>
    </w:p>
    <w:p w14:paraId="337D4488" w14:textId="77777777" w:rsidR="00CC338F" w:rsidRDefault="00CC338F" w:rsidP="00CC338F">
      <w:pPr>
        <w:ind w:left="284"/>
        <w:jc w:val="both"/>
        <w:rPr>
          <w:sz w:val="26"/>
          <w:szCs w:val="26"/>
        </w:rPr>
      </w:pPr>
    </w:p>
    <w:p w14:paraId="67BAD77E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ritenuto pertanto procedere all’affidamento della fornitura in argomento occorrente per mesi trentasei come segue:</w:t>
      </w:r>
    </w:p>
    <w:p w14:paraId="05E9DE8F" w14:textId="77777777" w:rsidR="00CC338F" w:rsidRDefault="00CC338F" w:rsidP="00CC338F">
      <w:pPr>
        <w:jc w:val="both"/>
        <w:rPr>
          <w:sz w:val="26"/>
          <w:szCs w:val="26"/>
        </w:rPr>
      </w:pPr>
    </w:p>
    <w:p w14:paraId="780BC8FF" w14:textId="77777777" w:rsidR="00CC338F" w:rsidRDefault="00CC338F" w:rsidP="00CC338F">
      <w:pPr>
        <w:jc w:val="both"/>
        <w:rPr>
          <w:sz w:val="26"/>
          <w:szCs w:val="26"/>
        </w:rPr>
      </w:pPr>
    </w:p>
    <w:p w14:paraId="3744DB63" w14:textId="77777777" w:rsidR="00E2243D" w:rsidRDefault="00E2243D" w:rsidP="00CC33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14:paraId="2251BCEF" w14:textId="7EC71A32" w:rsidR="00CC338F" w:rsidRDefault="006322E1" w:rsidP="00CC33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 xml:space="preserve">ditta POLIMED S.r.l. – Via dei Mille, 7 – 15025 Morano sul Po </w:t>
      </w:r>
      <w:r>
        <w:rPr>
          <w:sz w:val="26"/>
          <w:szCs w:val="26"/>
          <w:u w:val="single"/>
        </w:rPr>
        <w:t>(AL)</w:t>
      </w:r>
    </w:p>
    <w:p w14:paraId="34C9EE33" w14:textId="77777777" w:rsidR="00CC338F" w:rsidRDefault="006322E1" w:rsidP="00CC33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Cod. Fiscale: 01655870028 –P.Iva: 01564570065 </w:t>
      </w:r>
    </w:p>
    <w:p w14:paraId="41C3D80B" w14:textId="77777777" w:rsidR="00CC338F" w:rsidRDefault="006322E1" w:rsidP="00CC33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(Rif. Offerta n. 2023/200 del 07/06/2023)</w:t>
      </w:r>
    </w:p>
    <w:p w14:paraId="1143FCB5" w14:textId="77777777" w:rsidR="00CC338F" w:rsidRDefault="00CC338F" w:rsidP="00CC338F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</w:p>
    <w:p w14:paraId="78427601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n. 255</w:t>
      </w:r>
      <w:r>
        <w:rPr>
          <w:sz w:val="26"/>
          <w:szCs w:val="26"/>
          <w:lang w:val="en-GB"/>
        </w:rPr>
        <w:tab/>
        <w:t>ureterorenoscopio flessibile digitale monouso</w:t>
      </w:r>
    </w:p>
    <w:p w14:paraId="28B604CB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 xml:space="preserve">movimento illogico ref/cod. US31E-12-EU </w:t>
      </w:r>
    </w:p>
    <w:p w14:paraId="69E2A01B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 xml:space="preserve">conf. da 1 pz – CND Z12020713 – </w:t>
      </w:r>
    </w:p>
    <w:p w14:paraId="36252D23" w14:textId="68E9976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>RDM 2291661</w:t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 xml:space="preserve">                                  a Euro 690,00=cad.+IVA22%</w:t>
      </w:r>
    </w:p>
    <w:p w14:paraId="4B415ED2" w14:textId="77777777" w:rsidR="00CC338F" w:rsidRDefault="00CC338F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</w:p>
    <w:p w14:paraId="25DF8697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n. 2</w:t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 xml:space="preserve">videoprocessore – ref/cod. EOS-H-01 -  </w:t>
      </w:r>
    </w:p>
    <w:p w14:paraId="0B3B22B4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>CND Z12020406 – RDM 2143461</w:t>
      </w:r>
    </w:p>
    <w:p w14:paraId="76AF10AE" w14:textId="77777777" w:rsidR="00CC338F" w:rsidRDefault="00CC338F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</w:p>
    <w:p w14:paraId="351FD361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 xml:space="preserve">fornitura senza maggiori oneri </w:t>
      </w:r>
    </w:p>
    <w:p w14:paraId="20FD06EF" w14:textId="77777777" w:rsidR="00CC338F" w:rsidRDefault="006322E1" w:rsidP="00CC338F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 xml:space="preserve">comprensiva dell’assistenza tecnica full-risk </w:t>
      </w:r>
    </w:p>
    <w:p w14:paraId="25FFB85F" w14:textId="77777777" w:rsidR="00CC338F" w:rsidRDefault="00CC338F" w:rsidP="00CC338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E50DB2B" w14:textId="77777777" w:rsidR="00CC338F" w:rsidRDefault="00CC338F" w:rsidP="00CC338F">
      <w:pPr>
        <w:widowControl w:val="0"/>
        <w:autoSpaceDE w:val="0"/>
        <w:autoSpaceDN w:val="0"/>
        <w:adjustRightInd w:val="0"/>
        <w:ind w:left="3540" w:hanging="2122"/>
        <w:jc w:val="both"/>
        <w:rPr>
          <w:sz w:val="26"/>
          <w:szCs w:val="26"/>
          <w:lang w:val="en-GB"/>
        </w:rPr>
      </w:pPr>
    </w:p>
    <w:p w14:paraId="5EF4E579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la spesa </w:t>
      </w:r>
      <w:r>
        <w:rPr>
          <w:sz w:val="26"/>
          <w:szCs w:val="26"/>
        </w:rPr>
        <w:t>complessiva presunta derivante dal presente provvedimento ammonta a Euro 175.950,00=IVA esclusa;</w:t>
      </w:r>
    </w:p>
    <w:p w14:paraId="74143F86" w14:textId="77777777" w:rsidR="00CC338F" w:rsidRDefault="00CC338F" w:rsidP="00CC338F">
      <w:pPr>
        <w:widowControl w:val="0"/>
        <w:autoSpaceDE w:val="0"/>
        <w:autoSpaceDN w:val="0"/>
        <w:adjustRightInd w:val="0"/>
        <w:ind w:left="6372" w:hanging="6372"/>
        <w:jc w:val="both"/>
        <w:rPr>
          <w:sz w:val="26"/>
          <w:szCs w:val="26"/>
        </w:rPr>
      </w:pPr>
    </w:p>
    <w:p w14:paraId="47D5FF73" w14:textId="77777777" w:rsidR="00CC338F" w:rsidRDefault="006322E1" w:rsidP="00CC33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ritenuto infine nominare, ai sensi del D.Lgs. 50/2016 e s.m.i., Responsabile del procedimento il Dott. CALVANO Claudio e Direttore dell’esecuzione del contrat</w:t>
      </w:r>
      <w:r>
        <w:rPr>
          <w:sz w:val="26"/>
          <w:szCs w:val="26"/>
        </w:rPr>
        <w:t>to il Dr. Ivano MORRA;</w:t>
      </w:r>
    </w:p>
    <w:p w14:paraId="77B5BDB5" w14:textId="77777777" w:rsidR="00CC338F" w:rsidRDefault="00CC338F" w:rsidP="00CC338F">
      <w:pPr>
        <w:ind w:left="284"/>
        <w:jc w:val="both"/>
        <w:rPr>
          <w:sz w:val="26"/>
          <w:szCs w:val="26"/>
        </w:rPr>
      </w:pPr>
    </w:p>
    <w:p w14:paraId="2950A5FE" w14:textId="77777777" w:rsidR="005C78EF" w:rsidRPr="001A788B" w:rsidRDefault="006322E1" w:rsidP="005C78EF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constatato che l’adozione del presente provvedimento compete al Dirigente della </w:t>
      </w:r>
      <w:r w:rsidRPr="001A788B">
        <w:rPr>
          <w:noProof/>
          <w:sz w:val="26"/>
          <w:szCs w:val="26"/>
        </w:rPr>
        <w:t xml:space="preserve">STRUTTURA COMPLESSA ACQUISTI DI BENI E SERVIZI </w:t>
      </w:r>
      <w:r w:rsidRPr="001A788B">
        <w:rPr>
          <w:sz w:val="26"/>
          <w:szCs w:val="26"/>
        </w:rPr>
        <w:t xml:space="preserve"> per il combinato disposto degli artt. 4, 16 e 17 del D.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Lgs. 30/3/2001 n.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165 e delle disposizioni regol</w:t>
      </w:r>
      <w:r w:rsidRPr="001A788B">
        <w:rPr>
          <w:sz w:val="26"/>
          <w:szCs w:val="26"/>
        </w:rPr>
        <w:t xml:space="preserve">amentari di cui all’atto aziendale; </w:t>
      </w:r>
    </w:p>
    <w:p w14:paraId="15FCCC5B" w14:textId="77777777" w:rsidR="005C78EF" w:rsidRDefault="005C78EF" w:rsidP="005C78EF">
      <w:pPr>
        <w:rPr>
          <w:sz w:val="26"/>
          <w:szCs w:val="26"/>
        </w:rPr>
      </w:pPr>
    </w:p>
    <w:p w14:paraId="1E3872B0" w14:textId="77777777" w:rsidR="005C78EF" w:rsidRPr="001A788B" w:rsidRDefault="005C78EF" w:rsidP="005C78EF">
      <w:pPr>
        <w:rPr>
          <w:sz w:val="26"/>
          <w:szCs w:val="26"/>
        </w:rPr>
      </w:pPr>
    </w:p>
    <w:p w14:paraId="7694832E" w14:textId="77777777" w:rsidR="005C78EF" w:rsidRPr="00A77B66" w:rsidRDefault="006322E1" w:rsidP="005C78EF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14:paraId="3A797339" w14:textId="77777777" w:rsidR="005C78EF" w:rsidRPr="00A77B66" w:rsidRDefault="005C78EF" w:rsidP="005C78EF">
      <w:pPr>
        <w:jc w:val="center"/>
        <w:rPr>
          <w:sz w:val="26"/>
          <w:szCs w:val="26"/>
        </w:rPr>
      </w:pPr>
    </w:p>
    <w:p w14:paraId="604620C1" w14:textId="77777777" w:rsidR="005C78E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“Nuove n</w:t>
      </w:r>
      <w:r w:rsidRPr="00F85601">
        <w:rPr>
          <w:sz w:val="26"/>
          <w:szCs w:val="26"/>
        </w:rPr>
        <w:t>orme in materia di procedimento amministrativo e di diritto di accesso ai documenti amministrativi”;</w:t>
      </w:r>
      <w:r>
        <w:rPr>
          <w:sz w:val="26"/>
          <w:szCs w:val="26"/>
        </w:rPr>
        <w:t xml:space="preserve">    </w:t>
      </w:r>
    </w:p>
    <w:p w14:paraId="4AE09A39" w14:textId="77777777" w:rsidR="00CC338F" w:rsidRDefault="006322E1" w:rsidP="00CC338F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25895DE4" w14:textId="77777777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procedura oggetto del presente atto è stata avviata – rif. prot. n. 19920/CC/AS del 30/05/2023 – in corso di vigenza del Decret</w:t>
      </w:r>
      <w:r>
        <w:rPr>
          <w:sz w:val="26"/>
          <w:szCs w:val="26"/>
        </w:rPr>
        <w:t>o Legislativo 18 aprile 2016, n. 50 “Codice dei contratti pubblici” e s.m.i.;</w:t>
      </w:r>
    </w:p>
    <w:p w14:paraId="21E3BDDC" w14:textId="77777777" w:rsidR="00CC338F" w:rsidRDefault="00CC338F" w:rsidP="00CC338F">
      <w:pPr>
        <w:pStyle w:val="Paragrafoelenco"/>
        <w:ind w:left="360"/>
        <w:jc w:val="both"/>
        <w:rPr>
          <w:sz w:val="26"/>
          <w:szCs w:val="26"/>
        </w:rPr>
      </w:pPr>
    </w:p>
    <w:p w14:paraId="38F76615" w14:textId="77777777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alla Ditta  POLIMED S.r.l. di Morano sul Po (AL), mediante affidamento diretto ai sensi della sopra citata normativa in materia di appalti di valore inferiore alla s</w:t>
      </w:r>
      <w:r>
        <w:rPr>
          <w:sz w:val="26"/>
          <w:szCs w:val="26"/>
        </w:rPr>
        <w:t xml:space="preserve">oglia comunitaria (RDO 3591683 espletata sul portale </w:t>
      </w:r>
      <w:hyperlink r:id="rId11" w:history="1">
        <w:r w:rsidRPr="005C78EF">
          <w:rPr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S.p.A.), la fornitura di ureterorenoscopi flessibili digitali monouso per l’endoscopia dell’alta via urinaria occorrenti alla S.C. Urologia per mesi </w:t>
      </w:r>
      <w:r>
        <w:rPr>
          <w:sz w:val="26"/>
          <w:szCs w:val="26"/>
        </w:rPr>
        <w:lastRenderedPageBreak/>
        <w:t>trentasei con decorrenza dalla data della stipula del contratto sul port</w:t>
      </w:r>
      <w:r>
        <w:rPr>
          <w:sz w:val="26"/>
          <w:szCs w:val="26"/>
        </w:rPr>
        <w:t>ale MEPA (data prevista 28/09/2023), nei quantitativi presunti e alle condizioni contrattuali dettagliatamente indicate in premessa;</w:t>
      </w:r>
    </w:p>
    <w:p w14:paraId="06140036" w14:textId="77777777" w:rsidR="00CC338F" w:rsidRDefault="00CC338F" w:rsidP="005C78EF">
      <w:pPr>
        <w:pStyle w:val="Paragrafoelenco"/>
        <w:ind w:left="360"/>
        <w:jc w:val="both"/>
        <w:rPr>
          <w:sz w:val="26"/>
          <w:szCs w:val="26"/>
        </w:rPr>
      </w:pPr>
    </w:p>
    <w:p w14:paraId="4858BD28" w14:textId="77777777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nominare, ai sensi della D.Lgs. 50/2016 e s.m.i., Responsabile del procedimento il Dott. CALVANO Claudio e Direttore </w:t>
      </w:r>
      <w:r>
        <w:rPr>
          <w:sz w:val="26"/>
          <w:szCs w:val="26"/>
        </w:rPr>
        <w:t>dell’esecuzione del contratto il Dr. Ivano MORRA;</w:t>
      </w:r>
    </w:p>
    <w:p w14:paraId="0F5D8173" w14:textId="77777777" w:rsidR="00CC338F" w:rsidRDefault="00CC338F" w:rsidP="00CC338F">
      <w:pPr>
        <w:pStyle w:val="Paragrafoelenco"/>
        <w:ind w:left="360"/>
        <w:jc w:val="both"/>
        <w:rPr>
          <w:sz w:val="26"/>
          <w:szCs w:val="26"/>
        </w:rPr>
      </w:pPr>
    </w:p>
    <w:p w14:paraId="113BCB0F" w14:textId="0D17BECF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nei confronti della Ditta assegnataria sono in corso, da parte S.C.I. Servizio Legale (ASL CN1), i controlli di veridicità del contenuto delle dichiarazioni presentate in sede d’offerta.</w:t>
      </w:r>
    </w:p>
    <w:p w14:paraId="3DE9AD5B" w14:textId="77777777" w:rsidR="00CC338F" w:rsidRDefault="00CC338F" w:rsidP="005C78EF">
      <w:pPr>
        <w:pStyle w:val="Paragrafoelenco"/>
        <w:ind w:left="360"/>
        <w:jc w:val="both"/>
        <w:rPr>
          <w:sz w:val="26"/>
          <w:szCs w:val="26"/>
        </w:rPr>
      </w:pPr>
    </w:p>
    <w:p w14:paraId="48AC4AA8" w14:textId="77777777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provvedimento, ammonta ad € 214.659,00 (IVA compresa), viene imputata al Bilancio di Previsione dell’Azienda Ospedaliera come sotto rappresentato:</w:t>
      </w:r>
    </w:p>
    <w:p w14:paraId="17E6C0DD" w14:textId="77777777" w:rsidR="00CC338F" w:rsidRDefault="00CC338F" w:rsidP="00CC338F">
      <w:pPr>
        <w:pStyle w:val="Paragrafoelenco"/>
        <w:ind w:left="360"/>
        <w:jc w:val="both"/>
        <w:rPr>
          <w:sz w:val="26"/>
          <w:szCs w:val="26"/>
        </w:rPr>
      </w:pPr>
    </w:p>
    <w:tbl>
      <w:tblPr>
        <w:tblW w:w="949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843"/>
        <w:gridCol w:w="3118"/>
        <w:gridCol w:w="1985"/>
      </w:tblGrid>
      <w:tr w:rsidR="00C50EEA" w14:paraId="7B6E3465" w14:textId="77777777" w:rsidTr="00CC338F">
        <w:trPr>
          <w:trHeight w:val="735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19AAE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7C820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52EF9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7B48A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5E0CF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C50EEA" w14:paraId="6A03EE09" w14:textId="77777777" w:rsidTr="00CC338F">
        <w:trPr>
          <w:trHeight w:val="73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DD06AB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55B141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7DCA00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  <w:p w14:paraId="69BB5576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 3.10.01.60)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CA8C9F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19A29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17.677,80</w:t>
            </w:r>
          </w:p>
        </w:tc>
      </w:tr>
      <w:tr w:rsidR="00C50EEA" w14:paraId="2F589F99" w14:textId="77777777" w:rsidTr="00CC338F">
        <w:trPr>
          <w:trHeight w:val="73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CFB2A0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04786B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8C87F9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  <w:p w14:paraId="6A4932E5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 3.10.01.60)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327A6C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8F450B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71.553,00</w:t>
            </w:r>
          </w:p>
        </w:tc>
      </w:tr>
      <w:tr w:rsidR="00C50EEA" w14:paraId="158429C1" w14:textId="77777777" w:rsidTr="00CC338F">
        <w:trPr>
          <w:trHeight w:val="73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EF79EF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25BF5B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2AF7DF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  <w:p w14:paraId="197422EB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 3.10.01.60)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6C6358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2BF5DF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71.553,00</w:t>
            </w:r>
          </w:p>
        </w:tc>
      </w:tr>
      <w:tr w:rsidR="00C50EEA" w14:paraId="5261E020" w14:textId="77777777" w:rsidTr="00CC338F">
        <w:trPr>
          <w:trHeight w:val="73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429E5E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23A0A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396CD3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  <w:p w14:paraId="4C10904D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 3.10.01.60)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7CB5E9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5B809C" w14:textId="77777777" w:rsidR="00CC338F" w:rsidRDefault="00632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53.875,20</w:t>
            </w:r>
          </w:p>
        </w:tc>
      </w:tr>
    </w:tbl>
    <w:p w14:paraId="0FE0046B" w14:textId="77777777" w:rsidR="00CC338F" w:rsidRDefault="00CC338F" w:rsidP="00CC338F">
      <w:pPr>
        <w:widowControl w:val="0"/>
        <w:autoSpaceDE w:val="0"/>
        <w:autoSpaceDN w:val="0"/>
        <w:adjustRightInd w:val="0"/>
        <w:ind w:left="708"/>
        <w:rPr>
          <w:sz w:val="26"/>
          <w:szCs w:val="26"/>
        </w:rPr>
      </w:pPr>
    </w:p>
    <w:p w14:paraId="201639B7" w14:textId="77777777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la quota di accantonamento per il fondo incentivante previsto dall’art.113 del D.Lgs 50/2016 e s.m.i., corrispondente a Euro 4.060,00 ai sensi dell’art. 2 comma 2 del Regolamento per gli </w:t>
      </w:r>
      <w:r>
        <w:rPr>
          <w:sz w:val="26"/>
          <w:szCs w:val="26"/>
        </w:rPr>
        <w:t xml:space="preserve">incentivi per funzioni tecniche approvato con provvedimento n.122 del 18/03/2019 e rilevato in particolare che tale quota risulta calcolata sull’importo posto a base di gara di Euro 203.000,00 IVA esclusa, rientra negli stanziamenti previsti per i singoli </w:t>
      </w:r>
      <w:r>
        <w:rPr>
          <w:sz w:val="26"/>
          <w:szCs w:val="26"/>
        </w:rPr>
        <w:t>appalti e sarà oggetto di ripartizione secondo le modalità e i coefficienti di cui al provvedimento n.122 del 18/03/2019 “</w:t>
      </w:r>
      <w:r w:rsidRPr="005C78EF">
        <w:rPr>
          <w:sz w:val="26"/>
          <w:szCs w:val="26"/>
        </w:rPr>
        <w:t>Adozione regolamento recante norme e criteri di costituzione e ripartizione del fondo incentivante per le funzioni tecniche di cui all</w:t>
      </w:r>
      <w:r w:rsidRPr="005C78EF">
        <w:rPr>
          <w:sz w:val="26"/>
          <w:szCs w:val="26"/>
        </w:rPr>
        <w:t>’art.113</w:t>
      </w:r>
    </w:p>
    <w:p w14:paraId="0FB0E7D7" w14:textId="2AA24026" w:rsidR="00CC338F" w:rsidRDefault="00CC338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2D83ABBA" w14:textId="679EF4BD" w:rsidR="0096560F" w:rsidRDefault="0096560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581FF211" w14:textId="65732850" w:rsidR="0096560F" w:rsidRDefault="0096560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0DDE76CF" w14:textId="135DAC68" w:rsidR="0096560F" w:rsidRDefault="0096560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0BABC719" w14:textId="798B88D1" w:rsidR="0096560F" w:rsidRDefault="0096560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790CAB5D" w14:textId="31516CEF" w:rsidR="0096560F" w:rsidRDefault="0096560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1BCCEAC9" w14:textId="77777777" w:rsidR="0096560F" w:rsidRDefault="0096560F" w:rsidP="00CC338F">
      <w:pPr>
        <w:pStyle w:val="Paragrafoelenco"/>
        <w:ind w:left="426"/>
        <w:jc w:val="both"/>
        <w:rPr>
          <w:sz w:val="26"/>
          <w:szCs w:val="26"/>
        </w:rPr>
      </w:pPr>
    </w:p>
    <w:p w14:paraId="10BAEC17" w14:textId="77777777" w:rsidR="00CC338F" w:rsidRDefault="006322E1" w:rsidP="005C78EF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di trasmettere copia del presente provvedimento alla Direzione Generale.</w:t>
      </w:r>
    </w:p>
    <w:p w14:paraId="6DFFDEAF" w14:textId="77777777" w:rsidR="00CC338F" w:rsidRPr="001A788B" w:rsidRDefault="00CC338F" w:rsidP="005C78EF">
      <w:pPr>
        <w:ind w:left="284"/>
        <w:jc w:val="both"/>
        <w:rPr>
          <w:sz w:val="26"/>
          <w:szCs w:val="26"/>
        </w:rPr>
      </w:pPr>
    </w:p>
    <w:p w14:paraId="72F21FD9" w14:textId="77777777" w:rsidR="000B1CD1" w:rsidRPr="001A788B" w:rsidRDefault="000B1CD1" w:rsidP="0056539E">
      <w:pPr>
        <w:pStyle w:val="Paragrafoelenco"/>
        <w:rPr>
          <w:sz w:val="26"/>
          <w:szCs w:val="26"/>
        </w:rPr>
      </w:pPr>
    </w:p>
    <w:tbl>
      <w:tblPr>
        <w:tblW w:w="9373" w:type="dxa"/>
        <w:tblLook w:val="0000" w:firstRow="0" w:lastRow="0" w:firstColumn="0" w:lastColumn="0" w:noHBand="0" w:noVBand="0"/>
      </w:tblPr>
      <w:tblGrid>
        <w:gridCol w:w="4428"/>
        <w:gridCol w:w="4945"/>
      </w:tblGrid>
      <w:tr w:rsidR="00C50EEA" w14:paraId="5C75A87C" w14:textId="77777777" w:rsidTr="00344CB7">
        <w:trPr>
          <w:trHeight w:val="378"/>
        </w:trPr>
        <w:tc>
          <w:tcPr>
            <w:tcW w:w="9373" w:type="dxa"/>
            <w:gridSpan w:val="2"/>
          </w:tcPr>
          <w:p w14:paraId="4DBCBB99" w14:textId="77777777"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C50EEA" w14:paraId="1D1ECFD9" w14:textId="77777777" w:rsidTr="00344CB7">
        <w:trPr>
          <w:trHeight w:val="378"/>
        </w:trPr>
        <w:tc>
          <w:tcPr>
            <w:tcW w:w="4428" w:type="dxa"/>
          </w:tcPr>
          <w:p w14:paraId="28CD76F6" w14:textId="77777777"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</w:tcPr>
          <w:p w14:paraId="6D599401" w14:textId="6BB52369" w:rsidR="001D5006" w:rsidRDefault="006322E1" w:rsidP="0096560F">
            <w:pPr>
              <w:jc w:val="center"/>
              <w:rPr>
                <w:sz w:val="26"/>
                <w:szCs w:val="26"/>
              </w:rPr>
            </w:pPr>
            <w:r w:rsidRPr="00890102">
              <w:rPr>
                <w:sz w:val="26"/>
                <w:szCs w:val="26"/>
              </w:rPr>
              <w:t>Il Direttore</w:t>
            </w:r>
          </w:p>
          <w:p w14:paraId="208FE5FF" w14:textId="77777777" w:rsidR="000B1CD1" w:rsidRPr="001A788B" w:rsidRDefault="006322E1" w:rsidP="0056539E">
            <w:pPr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14:paraId="4B773663" w14:textId="77777777" w:rsidR="000B1CD1" w:rsidRDefault="006322E1" w:rsidP="0056539E">
            <w:pPr>
              <w:pStyle w:val="Nessunaspaziatura"/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>CLAUDIO CALVANO</w:t>
            </w:r>
          </w:p>
          <w:p w14:paraId="376E4A22" w14:textId="77777777" w:rsidR="000B1CD1" w:rsidRPr="001A788B" w:rsidRDefault="006322E1" w:rsidP="0056539E">
            <w:pPr>
              <w:pStyle w:val="Nessunaspaziatura"/>
              <w:jc w:val="center"/>
              <w:rPr>
                <w:sz w:val="20"/>
              </w:rPr>
            </w:pPr>
            <w:r w:rsidRPr="0077507D">
              <w:rPr>
                <w:i/>
                <w:sz w:val="16"/>
                <w:szCs w:val="16"/>
              </w:rPr>
              <w:t xml:space="preserve">Firmato digitalmente ai sensi </w:t>
            </w:r>
            <w:r>
              <w:rPr>
                <w:i/>
                <w:sz w:val="16"/>
                <w:szCs w:val="16"/>
              </w:rPr>
              <w:t xml:space="preserve">del </w:t>
            </w:r>
            <w:r w:rsidRPr="0077507D">
              <w:rPr>
                <w:i/>
                <w:sz w:val="16"/>
                <w:szCs w:val="16"/>
              </w:rPr>
              <w:t>D.Lgs n 82/2005 e s.m.i.</w:t>
            </w:r>
          </w:p>
        </w:tc>
      </w:tr>
    </w:tbl>
    <w:p w14:paraId="421874F9" w14:textId="77777777" w:rsidR="000B1CD1" w:rsidRDefault="000B1CD1" w:rsidP="0056539E"/>
    <w:sectPr w:rsidR="000B1CD1" w:rsidSect="00CB14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25B77" w14:textId="77777777" w:rsidR="00000000" w:rsidRDefault="006322E1">
      <w:r>
        <w:separator/>
      </w:r>
    </w:p>
  </w:endnote>
  <w:endnote w:type="continuationSeparator" w:id="0">
    <w:p w14:paraId="3A0A300E" w14:textId="77777777" w:rsidR="00000000" w:rsidRDefault="0063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173D" w14:textId="77777777"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003A" w14:textId="5AF4E8E5" w:rsidR="000B3273" w:rsidRPr="00454F81" w:rsidRDefault="006322E1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1381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27/09/2023</w:t>
    </w:r>
  </w:p>
  <w:p w14:paraId="08045C88" w14:textId="77777777"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DE3A0" w14:textId="76EECA15" w:rsidR="000B3273" w:rsidRDefault="006322E1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1381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27/09/2023</w:t>
    </w:r>
  </w:p>
  <w:p w14:paraId="61024964" w14:textId="77777777"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3E42C" w14:textId="77777777" w:rsidR="00000000" w:rsidRDefault="006322E1">
      <w:r>
        <w:separator/>
      </w:r>
    </w:p>
  </w:footnote>
  <w:footnote w:type="continuationSeparator" w:id="0">
    <w:p w14:paraId="315F8D51" w14:textId="77777777" w:rsidR="00000000" w:rsidRDefault="0063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ED0A" w14:textId="77777777"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59274" w14:textId="77777777" w:rsidR="000B3273" w:rsidRDefault="000B3273">
    <w:pPr>
      <w:pStyle w:val="Intestazione"/>
      <w:jc w:val="center"/>
    </w:pPr>
  </w:p>
  <w:p w14:paraId="7EB02A7A" w14:textId="77777777" w:rsidR="000B3273" w:rsidRDefault="000B3273">
    <w:pPr>
      <w:pStyle w:val="Intestazione"/>
    </w:pPr>
  </w:p>
  <w:p w14:paraId="475A8F51" w14:textId="77777777" w:rsidR="000B3273" w:rsidRDefault="000B3273">
    <w:pPr>
      <w:pStyle w:val="Intestazione"/>
    </w:pPr>
  </w:p>
  <w:p w14:paraId="78390026" w14:textId="77777777"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9880" w14:textId="77777777" w:rsidR="000B3273" w:rsidRPr="00214464" w:rsidRDefault="006322E1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607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2023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14:paraId="7B4F0CA3" w14:textId="77777777"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47316"/>
    <w:multiLevelType w:val="hybridMultilevel"/>
    <w:tmpl w:val="B2CA9972"/>
    <w:lvl w:ilvl="0" w:tplc="7CA42772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8534A97A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31F295B6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DF7671D0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98ACADE8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99C04F2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2BA0241E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EFAA0C64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D6C83E62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1">
    <w:nsid w:val="27A05321"/>
    <w:multiLevelType w:val="hybridMultilevel"/>
    <w:tmpl w:val="A7421E3E"/>
    <w:lvl w:ilvl="0" w:tplc="EF3A1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CB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48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D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8E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4B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8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06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80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326D55"/>
    <w:multiLevelType w:val="hybridMultilevel"/>
    <w:tmpl w:val="3A8EABA4"/>
    <w:lvl w:ilvl="0" w:tplc="CEBC86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404D44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20F3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267E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820B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0207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C26A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4660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7691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AA14504"/>
    <w:multiLevelType w:val="hybridMultilevel"/>
    <w:tmpl w:val="57D4E8B2"/>
    <w:lvl w:ilvl="0" w:tplc="02BAE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F4B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47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8D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2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E5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06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E9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EE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EE94900"/>
    <w:multiLevelType w:val="hybridMultilevel"/>
    <w:tmpl w:val="34CE2D20"/>
    <w:lvl w:ilvl="0" w:tplc="4816FF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1F8CEE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A42D5C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85CEEA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340C3E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460664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6DE19D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900A6D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664467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1">
    <w:nsid w:val="5EFF22BC"/>
    <w:multiLevelType w:val="hybridMultilevel"/>
    <w:tmpl w:val="FD5EC606"/>
    <w:lvl w:ilvl="0" w:tplc="7E9466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2B24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6E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62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EA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A6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7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AA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63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45C13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214464"/>
    <w:rsid w:val="002A3322"/>
    <w:rsid w:val="002C6FCF"/>
    <w:rsid w:val="00344CB7"/>
    <w:rsid w:val="0037320D"/>
    <w:rsid w:val="00387256"/>
    <w:rsid w:val="00397102"/>
    <w:rsid w:val="00413BF4"/>
    <w:rsid w:val="00425B44"/>
    <w:rsid w:val="00432029"/>
    <w:rsid w:val="00432F1D"/>
    <w:rsid w:val="00433789"/>
    <w:rsid w:val="00435374"/>
    <w:rsid w:val="00437088"/>
    <w:rsid w:val="0044420C"/>
    <w:rsid w:val="00454F81"/>
    <w:rsid w:val="00464CB1"/>
    <w:rsid w:val="0046772E"/>
    <w:rsid w:val="004A1C3C"/>
    <w:rsid w:val="004A7873"/>
    <w:rsid w:val="00517234"/>
    <w:rsid w:val="00524128"/>
    <w:rsid w:val="00525FE7"/>
    <w:rsid w:val="00562B85"/>
    <w:rsid w:val="00564580"/>
    <w:rsid w:val="0056539E"/>
    <w:rsid w:val="00590CC9"/>
    <w:rsid w:val="00591962"/>
    <w:rsid w:val="005B3DFB"/>
    <w:rsid w:val="005B58DD"/>
    <w:rsid w:val="005C78EF"/>
    <w:rsid w:val="006200BE"/>
    <w:rsid w:val="006322E1"/>
    <w:rsid w:val="006432F0"/>
    <w:rsid w:val="006B0349"/>
    <w:rsid w:val="006B6FA0"/>
    <w:rsid w:val="006B738C"/>
    <w:rsid w:val="006E1577"/>
    <w:rsid w:val="006E21A3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40413"/>
    <w:rsid w:val="00840AC3"/>
    <w:rsid w:val="008726D5"/>
    <w:rsid w:val="00877AFC"/>
    <w:rsid w:val="0088356C"/>
    <w:rsid w:val="00890102"/>
    <w:rsid w:val="008A1FFF"/>
    <w:rsid w:val="008B423F"/>
    <w:rsid w:val="008F11DD"/>
    <w:rsid w:val="00906AFB"/>
    <w:rsid w:val="00925443"/>
    <w:rsid w:val="00926C83"/>
    <w:rsid w:val="009356EC"/>
    <w:rsid w:val="0096560F"/>
    <w:rsid w:val="00984836"/>
    <w:rsid w:val="009B2BAA"/>
    <w:rsid w:val="009B4B0C"/>
    <w:rsid w:val="009F4EAD"/>
    <w:rsid w:val="00A27565"/>
    <w:rsid w:val="00A77B66"/>
    <w:rsid w:val="00A80EB1"/>
    <w:rsid w:val="00AC438C"/>
    <w:rsid w:val="00AC4990"/>
    <w:rsid w:val="00AD5EC4"/>
    <w:rsid w:val="00B1587A"/>
    <w:rsid w:val="00B8331A"/>
    <w:rsid w:val="00B87717"/>
    <w:rsid w:val="00BA1ABF"/>
    <w:rsid w:val="00BA39F4"/>
    <w:rsid w:val="00C50EEA"/>
    <w:rsid w:val="00C558BA"/>
    <w:rsid w:val="00C6666A"/>
    <w:rsid w:val="00C83B98"/>
    <w:rsid w:val="00CB07F9"/>
    <w:rsid w:val="00CB14CF"/>
    <w:rsid w:val="00CB1CB3"/>
    <w:rsid w:val="00CC338F"/>
    <w:rsid w:val="00D17D07"/>
    <w:rsid w:val="00D4547E"/>
    <w:rsid w:val="00DB4B3B"/>
    <w:rsid w:val="00DB552D"/>
    <w:rsid w:val="00DE1984"/>
    <w:rsid w:val="00E2243D"/>
    <w:rsid w:val="00E84C3A"/>
    <w:rsid w:val="00E927D6"/>
    <w:rsid w:val="00EB0E8F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4:docId w14:val="368B389A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CC3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quistinretepa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cquistinretepa.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44997-000C-4B65-BCE8-05AB0EE1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Anselma Sandra</cp:lastModifiedBy>
  <cp:revision>2</cp:revision>
  <cp:lastPrinted>2023-06-30T10:56:00Z</cp:lastPrinted>
  <dcterms:created xsi:type="dcterms:W3CDTF">2023-09-28T09:37:00Z</dcterms:created>
  <dcterms:modified xsi:type="dcterms:W3CDTF">2023-09-28T09:37:00Z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