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47B" w:rsidRDefault="003B747B" w:rsidP="003B747B">
      <w:pPr>
        <w:pStyle w:val="Titolo1"/>
      </w:pPr>
      <w:r>
        <w:t>AZIENDA OSPEDALIERA S. CROCE E CARLE - CUNEO</w:t>
      </w:r>
    </w:p>
    <w:p w:rsidR="003B747B" w:rsidRDefault="003B747B" w:rsidP="003B747B">
      <w:pPr>
        <w:jc w:val="center"/>
        <w:rPr>
          <w:rFonts w:ascii="Arial" w:hAnsi="Arial"/>
          <w:b/>
          <w:sz w:val="28"/>
          <w:u w:val="single"/>
        </w:rPr>
      </w:pPr>
    </w:p>
    <w:p w:rsidR="003B747B" w:rsidRDefault="003B747B" w:rsidP="003B747B">
      <w:pPr>
        <w:jc w:val="center"/>
        <w:rPr>
          <w:rFonts w:ascii="Arial" w:hAnsi="Arial"/>
          <w:b/>
          <w:sz w:val="28"/>
          <w:u w:val="single"/>
        </w:rPr>
      </w:pPr>
    </w:p>
    <w:p w:rsidR="003B747B" w:rsidRDefault="003B747B" w:rsidP="003B747B">
      <w:pPr>
        <w:jc w:val="both"/>
        <w:rPr>
          <w:rFonts w:ascii="Arial" w:hAnsi="Arial"/>
          <w:b/>
          <w:sz w:val="28"/>
        </w:rPr>
      </w:pPr>
      <w:r>
        <w:rPr>
          <w:rFonts w:ascii="Arial" w:hAnsi="Arial"/>
          <w:b/>
          <w:sz w:val="28"/>
        </w:rPr>
        <w:t>CONCORSO PUBBLICO PER TITOLI ED ESAMI A N. 1 POSTO DI DIRIGENTE MEDICO DI NEUROLOGIA</w:t>
      </w:r>
    </w:p>
    <w:p w:rsidR="003B747B" w:rsidRDefault="003B747B" w:rsidP="003B747B">
      <w:pPr>
        <w:jc w:val="both"/>
        <w:rPr>
          <w:rFonts w:ascii="Arial" w:hAnsi="Arial"/>
          <w:b/>
          <w:sz w:val="28"/>
        </w:rPr>
      </w:pPr>
    </w:p>
    <w:p w:rsidR="003B747B" w:rsidRDefault="003B747B" w:rsidP="003B747B">
      <w:pPr>
        <w:jc w:val="center"/>
        <w:rPr>
          <w:rFonts w:ascii="Arial" w:hAnsi="Arial"/>
          <w:sz w:val="24"/>
          <w:u w:val="single"/>
        </w:rPr>
      </w:pPr>
      <w:r>
        <w:rPr>
          <w:rFonts w:ascii="Arial" w:hAnsi="Arial"/>
          <w:sz w:val="24"/>
          <w:u w:val="single"/>
        </w:rPr>
        <w:t>CRITERI DI VALUTAZIONE</w:t>
      </w:r>
    </w:p>
    <w:p w:rsidR="00A23356" w:rsidRDefault="00F052D1"/>
    <w:p w:rsidR="003B747B" w:rsidRPr="003B747B" w:rsidRDefault="003B747B" w:rsidP="003B747B">
      <w:pPr>
        <w:jc w:val="both"/>
        <w:rPr>
          <w:rFonts w:ascii="Arial" w:hAnsi="Arial"/>
          <w:sz w:val="24"/>
        </w:rPr>
      </w:pPr>
      <w:r w:rsidRPr="003B747B">
        <w:rPr>
          <w:rFonts w:ascii="Arial" w:hAnsi="Arial"/>
          <w:sz w:val="24"/>
        </w:rPr>
        <w:tab/>
      </w:r>
      <w:smartTag w:uri="urn:schemas-microsoft-com:office:smarttags" w:element="PersonName">
        <w:smartTagPr>
          <w:attr w:name="ProductID" w:val="La Commissione"/>
        </w:smartTagPr>
        <w:r w:rsidRPr="003B747B">
          <w:rPr>
            <w:rFonts w:ascii="Arial" w:hAnsi="Arial"/>
            <w:sz w:val="24"/>
          </w:rPr>
          <w:t>La Commissione</w:t>
        </w:r>
      </w:smartTag>
      <w:r w:rsidRPr="003B747B">
        <w:rPr>
          <w:rFonts w:ascii="Arial" w:hAnsi="Arial"/>
          <w:sz w:val="24"/>
        </w:rPr>
        <w:t xml:space="preserve"> accerta che, ai sensi dell’art. 18, comma 2, del </w:t>
      </w:r>
      <w:proofErr w:type="spellStart"/>
      <w:proofErr w:type="gramStart"/>
      <w:r w:rsidRPr="003B747B">
        <w:rPr>
          <w:rFonts w:ascii="Arial" w:hAnsi="Arial"/>
          <w:sz w:val="24"/>
        </w:rPr>
        <w:t>D.Lgs</w:t>
      </w:r>
      <w:proofErr w:type="gramEnd"/>
      <w:r w:rsidRPr="003B747B">
        <w:rPr>
          <w:rFonts w:ascii="Arial" w:hAnsi="Arial"/>
          <w:sz w:val="24"/>
        </w:rPr>
        <w:t>.</w:t>
      </w:r>
      <w:proofErr w:type="spellEnd"/>
      <w:r w:rsidRPr="003B747B">
        <w:rPr>
          <w:rFonts w:ascii="Arial" w:hAnsi="Arial"/>
          <w:sz w:val="24"/>
        </w:rPr>
        <w:t xml:space="preserve"> 30.12.1992 n. 502 e successive modificazioni, la normativa di riferimento per l’espletamento del concorso è quella contenuta nel D.P.R. 10.12.1997 n. 483.</w:t>
      </w:r>
    </w:p>
    <w:p w:rsidR="003B747B" w:rsidRPr="003B747B" w:rsidRDefault="003B747B" w:rsidP="003B747B">
      <w:pPr>
        <w:jc w:val="both"/>
        <w:rPr>
          <w:rFonts w:ascii="Arial" w:hAnsi="Arial"/>
          <w:sz w:val="24"/>
        </w:rPr>
      </w:pPr>
    </w:p>
    <w:p w:rsidR="003B747B" w:rsidRPr="003B747B" w:rsidRDefault="003B747B" w:rsidP="003B747B">
      <w:pPr>
        <w:jc w:val="both"/>
        <w:rPr>
          <w:rFonts w:ascii="Arial" w:hAnsi="Arial"/>
          <w:i/>
          <w:sz w:val="24"/>
        </w:rPr>
      </w:pPr>
      <w:r w:rsidRPr="003B747B">
        <w:rPr>
          <w:rFonts w:ascii="Arial" w:hAnsi="Arial"/>
          <w:sz w:val="24"/>
        </w:rPr>
        <w:tab/>
        <w:t xml:space="preserve">La Commissione rileva inoltre che la determinazione 05.03.2024 n. 389 di indizione del concorso contempla altresì che, ai sensi della  Legge 30.12.2018 n. 145 “Bilancio di previsione dello Stato per l’anno finanziario 2019 e bilancio pluriennale, così come modificata dal D.L. 30.12.2019 n. 162, convertito in Legge 28.02.2020 n. 8, all’articolo 1, comma 547, è previsto che </w:t>
      </w:r>
      <w:r w:rsidRPr="003B747B">
        <w:rPr>
          <w:rFonts w:ascii="Arial" w:hAnsi="Arial"/>
          <w:i/>
          <w:sz w:val="24"/>
        </w:rPr>
        <w:t xml:space="preserve">a partire dal secondo anno del corso di formazione specialistica, i medici regolarmente iscritti sono ammessi alle procedure concorsuali per l’accesso alla dirigenza del ruolo sanitario nella specifica disciplina bandita e collocati, all’esito delle medesime procedure, in graduatoria separata </w:t>
      </w:r>
      <w:r w:rsidRPr="003B747B">
        <w:rPr>
          <w:rFonts w:ascii="Arial" w:hAnsi="Arial"/>
          <w:sz w:val="24"/>
        </w:rPr>
        <w:t xml:space="preserve">e al comma 548 prevede che </w:t>
      </w:r>
      <w:r w:rsidRPr="003B747B">
        <w:rPr>
          <w:rFonts w:ascii="Arial" w:hAnsi="Arial"/>
          <w:i/>
          <w:sz w:val="24"/>
        </w:rPr>
        <w:t>l’eventuale assunzione a tempo indeterminato dei medici di cui al comma 547, risultati idonei e utilmente collocati nelle relative graduatorie, è subordinata al conseguimento del titolo di specializzazione e all’esaurimento della graduatoria dei medici già specialisti alla data di scadenza del bando</w:t>
      </w:r>
      <w:r w:rsidRPr="003B747B">
        <w:rPr>
          <w:rFonts w:ascii="Arial" w:hAnsi="Arial"/>
          <w:sz w:val="24"/>
        </w:rPr>
        <w:t>;</w:t>
      </w:r>
    </w:p>
    <w:p w:rsidR="003B747B" w:rsidRPr="003B747B" w:rsidRDefault="003B747B" w:rsidP="003B747B">
      <w:pPr>
        <w:jc w:val="both"/>
        <w:rPr>
          <w:rFonts w:ascii="Arial" w:hAnsi="Arial"/>
          <w:sz w:val="24"/>
        </w:rPr>
      </w:pPr>
      <w:r w:rsidRPr="003B747B">
        <w:rPr>
          <w:rFonts w:ascii="Arial" w:hAnsi="Arial"/>
          <w:sz w:val="24"/>
        </w:rPr>
        <w:tab/>
        <w:t xml:space="preserve">Dopo aver preso visione del bando del concorso e delle norme contenute nel D.P.R. suindicato, che regolano l’espletamento del concorso, </w:t>
      </w:r>
      <w:smartTag w:uri="urn:schemas-microsoft-com:office:smarttags" w:element="PersonName">
        <w:smartTagPr>
          <w:attr w:name="ProductID" w:val="La Commissione"/>
        </w:smartTagPr>
        <w:r w:rsidRPr="003B747B">
          <w:rPr>
            <w:rFonts w:ascii="Arial" w:hAnsi="Arial"/>
            <w:sz w:val="24"/>
          </w:rPr>
          <w:t>la Commissione</w:t>
        </w:r>
      </w:smartTag>
      <w:r w:rsidRPr="003B747B">
        <w:rPr>
          <w:rFonts w:ascii="Arial" w:hAnsi="Arial"/>
          <w:sz w:val="24"/>
        </w:rPr>
        <w:t xml:space="preserve"> rileva che i lavori dovranno svolgersi con il seguente ordine:</w:t>
      </w:r>
    </w:p>
    <w:p w:rsidR="003B747B" w:rsidRPr="003B747B" w:rsidRDefault="003B747B" w:rsidP="003B747B">
      <w:pPr>
        <w:jc w:val="both"/>
        <w:rPr>
          <w:rFonts w:ascii="Arial" w:hAnsi="Arial"/>
          <w:sz w:val="24"/>
        </w:rPr>
      </w:pPr>
      <w:r w:rsidRPr="003B747B">
        <w:rPr>
          <w:rFonts w:ascii="Arial" w:hAnsi="Arial"/>
          <w:sz w:val="24"/>
        </w:rPr>
        <w:t>- determinazione dei criteri generali per la valutazione dei titoli;</w:t>
      </w:r>
    </w:p>
    <w:p w:rsidR="003B747B" w:rsidRPr="003B747B" w:rsidRDefault="003B747B" w:rsidP="003B747B">
      <w:pPr>
        <w:jc w:val="both"/>
        <w:rPr>
          <w:rFonts w:ascii="Arial" w:hAnsi="Arial"/>
          <w:sz w:val="24"/>
        </w:rPr>
      </w:pPr>
      <w:r w:rsidRPr="003B747B">
        <w:rPr>
          <w:rFonts w:ascii="Arial" w:hAnsi="Arial"/>
          <w:sz w:val="24"/>
        </w:rPr>
        <w:t>- determinazione dei criteri e delle modalità di valutazione delle prove concorsuali;</w:t>
      </w:r>
    </w:p>
    <w:p w:rsidR="003B747B" w:rsidRPr="003B747B" w:rsidRDefault="003B747B" w:rsidP="003B747B">
      <w:pPr>
        <w:jc w:val="both"/>
        <w:rPr>
          <w:rFonts w:ascii="Arial" w:hAnsi="Arial"/>
          <w:sz w:val="24"/>
        </w:rPr>
      </w:pPr>
      <w:r w:rsidRPr="003B747B">
        <w:rPr>
          <w:rFonts w:ascii="Arial" w:hAnsi="Arial"/>
          <w:sz w:val="24"/>
        </w:rPr>
        <w:t>- espletamento della prova scritta;</w:t>
      </w:r>
    </w:p>
    <w:p w:rsidR="003B747B" w:rsidRPr="003B747B" w:rsidRDefault="003B747B" w:rsidP="003B747B">
      <w:pPr>
        <w:rPr>
          <w:rFonts w:ascii="Arial" w:hAnsi="Arial"/>
          <w:sz w:val="24"/>
        </w:rPr>
      </w:pPr>
      <w:r w:rsidRPr="003B747B">
        <w:rPr>
          <w:rFonts w:ascii="Arial" w:hAnsi="Arial"/>
          <w:sz w:val="24"/>
        </w:rPr>
        <w:t>- valutazione dei titoli limitatamente ai candidati presentatisi alla prova scritta;</w:t>
      </w:r>
    </w:p>
    <w:p w:rsidR="003B747B" w:rsidRPr="003B747B" w:rsidRDefault="003B747B" w:rsidP="003B747B">
      <w:pPr>
        <w:rPr>
          <w:rFonts w:ascii="Arial" w:hAnsi="Arial"/>
          <w:sz w:val="24"/>
        </w:rPr>
      </w:pPr>
      <w:r w:rsidRPr="003B747B">
        <w:rPr>
          <w:rFonts w:ascii="Arial" w:hAnsi="Arial"/>
          <w:sz w:val="24"/>
        </w:rPr>
        <w:t>- correzione e valutazione della prova scritta;</w:t>
      </w:r>
    </w:p>
    <w:p w:rsidR="003B747B" w:rsidRPr="003B747B" w:rsidRDefault="003B747B" w:rsidP="003B747B">
      <w:pPr>
        <w:rPr>
          <w:rFonts w:ascii="Arial" w:hAnsi="Arial"/>
          <w:sz w:val="24"/>
        </w:rPr>
      </w:pPr>
      <w:r w:rsidRPr="003B747B">
        <w:rPr>
          <w:rFonts w:ascii="Arial" w:hAnsi="Arial"/>
          <w:sz w:val="24"/>
        </w:rPr>
        <w:t>- espletamento e valutazione della prova pratica;</w:t>
      </w:r>
    </w:p>
    <w:p w:rsidR="003B747B" w:rsidRPr="003B747B" w:rsidRDefault="003B747B" w:rsidP="003B747B">
      <w:pPr>
        <w:rPr>
          <w:rFonts w:ascii="Arial" w:hAnsi="Arial"/>
          <w:sz w:val="24"/>
        </w:rPr>
      </w:pPr>
      <w:r w:rsidRPr="003B747B">
        <w:rPr>
          <w:rFonts w:ascii="Arial" w:hAnsi="Arial"/>
          <w:sz w:val="24"/>
        </w:rPr>
        <w:t>- espletamento e valutazione della prova orale;</w:t>
      </w:r>
    </w:p>
    <w:p w:rsidR="003B747B" w:rsidRPr="003B747B" w:rsidRDefault="003B747B" w:rsidP="003B747B">
      <w:pPr>
        <w:jc w:val="both"/>
        <w:rPr>
          <w:rFonts w:ascii="Arial" w:hAnsi="Arial"/>
          <w:sz w:val="24"/>
        </w:rPr>
      </w:pPr>
      <w:r w:rsidRPr="003B747B">
        <w:rPr>
          <w:rFonts w:ascii="Arial" w:hAnsi="Arial"/>
          <w:sz w:val="24"/>
        </w:rPr>
        <w:t>- formulazione della graduatoria dei candidati idonei suddivisa tra candidati già in possesso della specifica specializzazione e candidati iscritti al secondo anno del relativo corso di specializzazione</w:t>
      </w:r>
    </w:p>
    <w:p w:rsidR="003B747B" w:rsidRPr="003B747B" w:rsidRDefault="003B747B" w:rsidP="003B747B">
      <w:pPr>
        <w:rPr>
          <w:rFonts w:ascii="Arial" w:hAnsi="Arial"/>
          <w:sz w:val="24"/>
        </w:rPr>
      </w:pPr>
      <w:r w:rsidRPr="003B747B">
        <w:rPr>
          <w:rFonts w:ascii="Arial" w:hAnsi="Arial"/>
          <w:sz w:val="24"/>
        </w:rPr>
        <w:tab/>
      </w:r>
    </w:p>
    <w:p w:rsidR="003B747B" w:rsidRPr="003B747B" w:rsidRDefault="003B747B" w:rsidP="003B747B">
      <w:pPr>
        <w:ind w:firstLine="708"/>
        <w:jc w:val="both"/>
        <w:rPr>
          <w:rFonts w:ascii="Arial" w:hAnsi="Arial"/>
          <w:sz w:val="24"/>
        </w:rPr>
      </w:pPr>
      <w:r w:rsidRPr="003B747B">
        <w:rPr>
          <w:rFonts w:ascii="Arial" w:hAnsi="Arial"/>
          <w:sz w:val="24"/>
        </w:rPr>
        <w:t xml:space="preserve">Per la valutazione dei titoli e delle prove </w:t>
      </w:r>
      <w:smartTag w:uri="urn:schemas-microsoft-com:office:smarttags" w:element="PersonName">
        <w:smartTagPr>
          <w:attr w:name="ProductID" w:val="La Commissione"/>
        </w:smartTagPr>
        <w:r w:rsidRPr="003B747B">
          <w:rPr>
            <w:rFonts w:ascii="Arial" w:hAnsi="Arial"/>
            <w:sz w:val="24"/>
          </w:rPr>
          <w:t>la Commissione</w:t>
        </w:r>
      </w:smartTag>
      <w:r w:rsidRPr="003B747B">
        <w:rPr>
          <w:rFonts w:ascii="Arial" w:hAnsi="Arial"/>
          <w:sz w:val="24"/>
        </w:rPr>
        <w:t xml:space="preserve"> rileva di dover fare riferimento all'art. 27 del D.P.R. 10.12.1997 n. 483 che dispone quanto segue:</w:t>
      </w:r>
    </w:p>
    <w:p w:rsidR="003B747B" w:rsidRPr="003B747B" w:rsidRDefault="003B747B" w:rsidP="003B747B">
      <w:pPr>
        <w:rPr>
          <w:rFonts w:ascii="Arial" w:hAnsi="Arial"/>
          <w:sz w:val="24"/>
        </w:rPr>
      </w:pPr>
    </w:p>
    <w:p w:rsidR="003B747B" w:rsidRPr="003B747B" w:rsidRDefault="003B747B" w:rsidP="003B747B">
      <w:pPr>
        <w:rPr>
          <w:rFonts w:ascii="Arial" w:hAnsi="Arial"/>
          <w:sz w:val="24"/>
        </w:rPr>
      </w:pPr>
      <w:r w:rsidRPr="003B747B">
        <w:rPr>
          <w:rFonts w:ascii="Arial" w:hAnsi="Arial"/>
          <w:sz w:val="24"/>
        </w:rPr>
        <w:t>Punteggio a disposizione per la prova scritta</w:t>
      </w:r>
      <w:r w:rsidRPr="003B747B">
        <w:rPr>
          <w:rFonts w:ascii="Arial" w:hAnsi="Arial"/>
          <w:sz w:val="24"/>
        </w:rPr>
        <w:tab/>
      </w:r>
      <w:r w:rsidRPr="003B747B">
        <w:rPr>
          <w:rFonts w:ascii="Arial" w:hAnsi="Arial"/>
          <w:sz w:val="24"/>
        </w:rPr>
        <w:tab/>
        <w:t>p. 30</w:t>
      </w:r>
    </w:p>
    <w:p w:rsidR="003B747B" w:rsidRPr="003B747B" w:rsidRDefault="003B747B" w:rsidP="003B747B">
      <w:pPr>
        <w:rPr>
          <w:rFonts w:ascii="Arial" w:hAnsi="Arial"/>
          <w:sz w:val="24"/>
        </w:rPr>
      </w:pPr>
      <w:r w:rsidRPr="003B747B">
        <w:rPr>
          <w:rFonts w:ascii="Arial" w:hAnsi="Arial"/>
          <w:sz w:val="24"/>
        </w:rPr>
        <w:t>Punteggio a disposizione per la prova pratica</w:t>
      </w:r>
      <w:r w:rsidRPr="003B747B">
        <w:rPr>
          <w:rFonts w:ascii="Arial" w:hAnsi="Arial"/>
          <w:sz w:val="24"/>
        </w:rPr>
        <w:tab/>
      </w:r>
      <w:r w:rsidRPr="003B747B">
        <w:rPr>
          <w:rFonts w:ascii="Arial" w:hAnsi="Arial"/>
          <w:sz w:val="24"/>
        </w:rPr>
        <w:tab/>
        <w:t>p. 30</w:t>
      </w:r>
    </w:p>
    <w:p w:rsidR="003B747B" w:rsidRPr="003B747B" w:rsidRDefault="003B747B" w:rsidP="003B747B">
      <w:pPr>
        <w:rPr>
          <w:rFonts w:ascii="Arial" w:hAnsi="Arial"/>
          <w:sz w:val="24"/>
        </w:rPr>
      </w:pPr>
      <w:r w:rsidRPr="003B747B">
        <w:rPr>
          <w:rFonts w:ascii="Arial" w:hAnsi="Arial"/>
          <w:sz w:val="24"/>
        </w:rPr>
        <w:t>Punteggio a disposizione per la prova orale</w:t>
      </w:r>
      <w:r w:rsidRPr="003B747B">
        <w:rPr>
          <w:rFonts w:ascii="Arial" w:hAnsi="Arial"/>
          <w:sz w:val="24"/>
        </w:rPr>
        <w:tab/>
      </w:r>
      <w:r w:rsidRPr="003B747B">
        <w:rPr>
          <w:rFonts w:ascii="Arial" w:hAnsi="Arial"/>
          <w:sz w:val="24"/>
        </w:rPr>
        <w:tab/>
        <w:t>p. 20</w:t>
      </w:r>
    </w:p>
    <w:p w:rsidR="003B747B" w:rsidRPr="003B747B" w:rsidRDefault="003B747B" w:rsidP="003B747B">
      <w:pPr>
        <w:rPr>
          <w:rFonts w:ascii="Arial" w:hAnsi="Arial"/>
          <w:sz w:val="24"/>
        </w:rPr>
      </w:pPr>
      <w:r w:rsidRPr="003B747B">
        <w:rPr>
          <w:rFonts w:ascii="Arial" w:hAnsi="Arial"/>
          <w:sz w:val="24"/>
        </w:rPr>
        <w:t>Punteggio a disposizione per i titoli</w:t>
      </w:r>
      <w:r w:rsidRPr="003B747B">
        <w:rPr>
          <w:rFonts w:ascii="Arial" w:hAnsi="Arial"/>
          <w:sz w:val="24"/>
        </w:rPr>
        <w:tab/>
      </w:r>
      <w:r w:rsidRPr="003B747B">
        <w:rPr>
          <w:rFonts w:ascii="Arial" w:hAnsi="Arial"/>
          <w:sz w:val="24"/>
        </w:rPr>
        <w:tab/>
      </w:r>
      <w:r w:rsidRPr="003B747B">
        <w:rPr>
          <w:rFonts w:ascii="Arial" w:hAnsi="Arial"/>
          <w:sz w:val="24"/>
        </w:rPr>
        <w:tab/>
        <w:t>p. 20</w:t>
      </w:r>
    </w:p>
    <w:p w:rsidR="003B747B" w:rsidRPr="003B747B" w:rsidRDefault="003B747B" w:rsidP="003B747B">
      <w:pPr>
        <w:rPr>
          <w:rFonts w:ascii="Arial" w:hAnsi="Arial"/>
          <w:sz w:val="24"/>
        </w:rPr>
      </w:pPr>
    </w:p>
    <w:p w:rsidR="003B747B" w:rsidRPr="003B747B" w:rsidRDefault="003B747B" w:rsidP="003B747B">
      <w:pPr>
        <w:ind w:firstLine="708"/>
        <w:rPr>
          <w:rFonts w:ascii="Arial" w:hAnsi="Arial"/>
          <w:sz w:val="24"/>
        </w:rPr>
      </w:pPr>
      <w:r w:rsidRPr="003B747B">
        <w:rPr>
          <w:rFonts w:ascii="Arial" w:hAnsi="Arial"/>
          <w:sz w:val="24"/>
        </w:rPr>
        <w:t>I punti per i titoli sono così ripartiti:</w:t>
      </w:r>
    </w:p>
    <w:p w:rsidR="003B747B" w:rsidRPr="003B747B" w:rsidRDefault="003B747B" w:rsidP="003B747B">
      <w:pPr>
        <w:rPr>
          <w:rFonts w:ascii="Arial" w:hAnsi="Arial"/>
          <w:sz w:val="24"/>
        </w:rPr>
      </w:pPr>
    </w:p>
    <w:p w:rsidR="003B747B" w:rsidRPr="003B747B" w:rsidRDefault="003B747B" w:rsidP="003B747B">
      <w:pPr>
        <w:numPr>
          <w:ilvl w:val="0"/>
          <w:numId w:val="1"/>
        </w:numPr>
        <w:rPr>
          <w:rFonts w:ascii="Arial" w:hAnsi="Arial"/>
          <w:sz w:val="24"/>
        </w:rPr>
      </w:pPr>
      <w:r w:rsidRPr="003B747B">
        <w:rPr>
          <w:rFonts w:ascii="Arial" w:hAnsi="Arial"/>
          <w:sz w:val="24"/>
        </w:rPr>
        <w:t>Titoli di carriera</w:t>
      </w:r>
      <w:r w:rsidRPr="003B747B">
        <w:rPr>
          <w:rFonts w:ascii="Arial" w:hAnsi="Arial"/>
          <w:sz w:val="24"/>
        </w:rPr>
        <w:tab/>
      </w:r>
      <w:r w:rsidRPr="003B747B">
        <w:rPr>
          <w:rFonts w:ascii="Arial" w:hAnsi="Arial"/>
          <w:sz w:val="24"/>
        </w:rPr>
        <w:tab/>
      </w:r>
      <w:r w:rsidRPr="003B747B">
        <w:rPr>
          <w:rFonts w:ascii="Arial" w:hAnsi="Arial"/>
          <w:sz w:val="24"/>
        </w:rPr>
        <w:tab/>
      </w:r>
      <w:r w:rsidRPr="003B747B">
        <w:rPr>
          <w:rFonts w:ascii="Arial" w:hAnsi="Arial"/>
          <w:sz w:val="24"/>
        </w:rPr>
        <w:tab/>
      </w:r>
      <w:r w:rsidRPr="003B747B">
        <w:rPr>
          <w:rFonts w:ascii="Arial" w:hAnsi="Arial"/>
          <w:sz w:val="24"/>
        </w:rPr>
        <w:tab/>
        <w:t>p. 10</w:t>
      </w:r>
    </w:p>
    <w:p w:rsidR="003B747B" w:rsidRPr="003B747B" w:rsidRDefault="003B747B" w:rsidP="003B747B">
      <w:pPr>
        <w:numPr>
          <w:ilvl w:val="0"/>
          <w:numId w:val="1"/>
        </w:numPr>
        <w:rPr>
          <w:rFonts w:ascii="Arial" w:hAnsi="Arial"/>
          <w:sz w:val="24"/>
        </w:rPr>
      </w:pPr>
      <w:r w:rsidRPr="003B747B">
        <w:rPr>
          <w:rFonts w:ascii="Arial" w:hAnsi="Arial"/>
          <w:sz w:val="24"/>
        </w:rPr>
        <w:t>Titoli accademici e di studio</w:t>
      </w:r>
      <w:r w:rsidRPr="003B747B">
        <w:rPr>
          <w:rFonts w:ascii="Arial" w:hAnsi="Arial"/>
          <w:sz w:val="24"/>
        </w:rPr>
        <w:tab/>
      </w:r>
      <w:r w:rsidRPr="003B747B">
        <w:rPr>
          <w:rFonts w:ascii="Arial" w:hAnsi="Arial"/>
          <w:sz w:val="24"/>
        </w:rPr>
        <w:tab/>
      </w:r>
      <w:r w:rsidRPr="003B747B">
        <w:rPr>
          <w:rFonts w:ascii="Arial" w:hAnsi="Arial"/>
          <w:sz w:val="24"/>
        </w:rPr>
        <w:tab/>
        <w:t>p.   3</w:t>
      </w:r>
    </w:p>
    <w:p w:rsidR="003B747B" w:rsidRPr="003B747B" w:rsidRDefault="003B747B" w:rsidP="003B747B">
      <w:pPr>
        <w:numPr>
          <w:ilvl w:val="0"/>
          <w:numId w:val="1"/>
        </w:numPr>
        <w:rPr>
          <w:rFonts w:ascii="Arial" w:hAnsi="Arial"/>
          <w:sz w:val="24"/>
        </w:rPr>
      </w:pPr>
      <w:r w:rsidRPr="003B747B">
        <w:rPr>
          <w:rFonts w:ascii="Arial" w:hAnsi="Arial"/>
          <w:sz w:val="24"/>
        </w:rPr>
        <w:lastRenderedPageBreak/>
        <w:t>Pubblicazioni e titoli scientifici</w:t>
      </w:r>
      <w:r w:rsidRPr="003B747B">
        <w:rPr>
          <w:rFonts w:ascii="Arial" w:hAnsi="Arial"/>
          <w:sz w:val="24"/>
        </w:rPr>
        <w:tab/>
      </w:r>
      <w:r w:rsidRPr="003B747B">
        <w:rPr>
          <w:rFonts w:ascii="Arial" w:hAnsi="Arial"/>
          <w:sz w:val="24"/>
        </w:rPr>
        <w:tab/>
      </w:r>
      <w:r w:rsidRPr="003B747B">
        <w:rPr>
          <w:rFonts w:ascii="Arial" w:hAnsi="Arial"/>
          <w:sz w:val="24"/>
        </w:rPr>
        <w:tab/>
        <w:t>p.   3</w:t>
      </w:r>
    </w:p>
    <w:p w:rsidR="003B747B" w:rsidRPr="003B747B" w:rsidRDefault="003B747B" w:rsidP="003B747B">
      <w:pPr>
        <w:numPr>
          <w:ilvl w:val="0"/>
          <w:numId w:val="1"/>
        </w:numPr>
        <w:rPr>
          <w:rFonts w:ascii="Arial" w:hAnsi="Arial"/>
          <w:sz w:val="24"/>
        </w:rPr>
      </w:pPr>
      <w:r w:rsidRPr="003B747B">
        <w:rPr>
          <w:rFonts w:ascii="Arial" w:hAnsi="Arial"/>
          <w:i/>
          <w:sz w:val="24"/>
        </w:rPr>
        <w:t>Curriculum</w:t>
      </w:r>
      <w:r w:rsidRPr="003B747B">
        <w:rPr>
          <w:rFonts w:ascii="Arial" w:hAnsi="Arial"/>
          <w:sz w:val="24"/>
        </w:rPr>
        <w:t xml:space="preserve"> formativo e professionale</w:t>
      </w:r>
      <w:r w:rsidRPr="003B747B">
        <w:rPr>
          <w:rFonts w:ascii="Arial" w:hAnsi="Arial"/>
          <w:sz w:val="24"/>
        </w:rPr>
        <w:tab/>
      </w:r>
      <w:r w:rsidRPr="003B747B">
        <w:rPr>
          <w:rFonts w:ascii="Arial" w:hAnsi="Arial"/>
          <w:sz w:val="24"/>
        </w:rPr>
        <w:tab/>
        <w:t>p.   4</w:t>
      </w:r>
    </w:p>
    <w:p w:rsidR="003B747B" w:rsidRPr="003B747B" w:rsidRDefault="003B747B" w:rsidP="003B747B">
      <w:pPr>
        <w:rPr>
          <w:rFonts w:ascii="Arial" w:hAnsi="Arial"/>
          <w:sz w:val="24"/>
        </w:rPr>
      </w:pPr>
    </w:p>
    <w:p w:rsidR="003B747B" w:rsidRPr="003B747B" w:rsidRDefault="003B747B" w:rsidP="003B747B">
      <w:pPr>
        <w:jc w:val="both"/>
        <w:rPr>
          <w:rFonts w:ascii="Arial" w:hAnsi="Arial"/>
          <w:sz w:val="24"/>
        </w:rPr>
      </w:pPr>
      <w:r w:rsidRPr="003B747B">
        <w:rPr>
          <w:rFonts w:ascii="Arial" w:hAnsi="Arial"/>
          <w:sz w:val="24"/>
        </w:rPr>
        <w:tab/>
        <w:t xml:space="preserve">Per la valutazione dei titoli di carriera e dei titoli accademici e di studio </w:t>
      </w:r>
      <w:smartTag w:uri="urn:schemas-microsoft-com:office:smarttags" w:element="PersonName">
        <w:smartTagPr>
          <w:attr w:name="ProductID" w:val="La Commissione"/>
        </w:smartTagPr>
        <w:r w:rsidRPr="003B747B">
          <w:rPr>
            <w:rFonts w:ascii="Arial" w:hAnsi="Arial"/>
            <w:sz w:val="24"/>
          </w:rPr>
          <w:t>la Commissione</w:t>
        </w:r>
      </w:smartTag>
      <w:r w:rsidRPr="003B747B">
        <w:rPr>
          <w:rFonts w:ascii="Arial" w:hAnsi="Arial"/>
          <w:sz w:val="24"/>
        </w:rPr>
        <w:t xml:space="preserve"> fa riferimento ai criteri generali contenuti nei titoli I, II e III del D.P.R. n. 483/1997 citato, agli artt. 11, 20, 21, 22, 23 e 27 che qui si intendono integralmente richiamati, all’art. 1, comma 565 della legge 27.12.2006 e successive modificazioni ed integrazioni, e ad ogni altra norma vigente ed applicabile al caso in esame.</w:t>
      </w:r>
    </w:p>
    <w:p w:rsidR="003B747B" w:rsidRPr="003B747B" w:rsidRDefault="003B747B" w:rsidP="003B747B">
      <w:pPr>
        <w:rPr>
          <w:rFonts w:ascii="Arial" w:hAnsi="Arial"/>
          <w:sz w:val="24"/>
        </w:rPr>
      </w:pPr>
    </w:p>
    <w:p w:rsidR="003B747B" w:rsidRPr="003B747B" w:rsidRDefault="003B747B" w:rsidP="003B747B">
      <w:pPr>
        <w:jc w:val="both"/>
        <w:rPr>
          <w:rFonts w:ascii="Arial" w:hAnsi="Arial"/>
          <w:sz w:val="24"/>
        </w:rPr>
      </w:pPr>
      <w:r w:rsidRPr="003B747B">
        <w:rPr>
          <w:rFonts w:ascii="Arial" w:hAnsi="Arial"/>
          <w:sz w:val="24"/>
        </w:rPr>
        <w:tab/>
        <w:t>Le pubblicazioni saranno valutate sulla base di un preciso esame di merito dei singoli lavori presentati, avuti presente i criteri generali analiticamente indicati all’art. 11 succitato; nel caso non sia espressamente indicato l’apporto del candidato si assume che ciascun coautore abbia contribuito in pari misura alla realizzazione del lavoro.</w:t>
      </w:r>
    </w:p>
    <w:p w:rsidR="003B747B" w:rsidRPr="003B747B" w:rsidRDefault="003B747B" w:rsidP="003B747B">
      <w:pPr>
        <w:jc w:val="both"/>
        <w:rPr>
          <w:rFonts w:ascii="Arial" w:hAnsi="Arial"/>
          <w:sz w:val="24"/>
        </w:rPr>
      </w:pPr>
    </w:p>
    <w:p w:rsidR="003B747B" w:rsidRPr="003B747B" w:rsidRDefault="003B747B" w:rsidP="003B747B">
      <w:pPr>
        <w:jc w:val="both"/>
        <w:rPr>
          <w:rFonts w:ascii="Arial" w:hAnsi="Arial"/>
          <w:sz w:val="24"/>
        </w:rPr>
      </w:pPr>
      <w:r w:rsidRPr="003B747B">
        <w:rPr>
          <w:rFonts w:ascii="Arial" w:hAnsi="Arial"/>
          <w:sz w:val="24"/>
        </w:rPr>
        <w:tab/>
      </w:r>
      <w:smartTag w:uri="urn:schemas-microsoft-com:office:smarttags" w:element="PersonName">
        <w:smartTagPr>
          <w:attr w:name="ProductID" w:val="La Commissione"/>
        </w:smartTagPr>
        <w:r w:rsidRPr="003B747B">
          <w:rPr>
            <w:rFonts w:ascii="Arial" w:hAnsi="Arial"/>
            <w:sz w:val="24"/>
          </w:rPr>
          <w:t>La Commissione</w:t>
        </w:r>
      </w:smartTag>
      <w:r w:rsidRPr="003B747B">
        <w:rPr>
          <w:rFonts w:ascii="Arial" w:hAnsi="Arial"/>
          <w:sz w:val="24"/>
        </w:rPr>
        <w:t xml:space="preserve"> formula i seguenti ulteriori criteri generali di valutazione:</w:t>
      </w:r>
    </w:p>
    <w:p w:rsidR="003B747B" w:rsidRPr="003B747B" w:rsidRDefault="003B747B" w:rsidP="003B747B">
      <w:pPr>
        <w:jc w:val="both"/>
        <w:rPr>
          <w:rFonts w:ascii="Arial" w:hAnsi="Arial"/>
          <w:sz w:val="24"/>
        </w:rPr>
      </w:pPr>
      <w:r w:rsidRPr="003B747B">
        <w:rPr>
          <w:rFonts w:ascii="Arial" w:hAnsi="Arial"/>
          <w:sz w:val="24"/>
        </w:rPr>
        <w:t>- ogni titolo dovrà essere formalmente e correttamente documentato;</w:t>
      </w:r>
    </w:p>
    <w:p w:rsidR="003B747B" w:rsidRPr="003B747B" w:rsidRDefault="003B747B" w:rsidP="003B747B">
      <w:pPr>
        <w:jc w:val="both"/>
        <w:rPr>
          <w:rFonts w:ascii="Arial" w:hAnsi="Arial"/>
          <w:sz w:val="24"/>
        </w:rPr>
      </w:pPr>
      <w:r w:rsidRPr="003B747B">
        <w:rPr>
          <w:rFonts w:ascii="Arial" w:hAnsi="Arial"/>
          <w:sz w:val="24"/>
        </w:rPr>
        <w:t>- la documentazione comprovante il titolo da valutare deve essere rilasciata dal legale rappresentante dell’ente o, comunque, da autorità abilitata al rilascio;</w:t>
      </w:r>
    </w:p>
    <w:p w:rsidR="003B747B" w:rsidRPr="003B747B" w:rsidRDefault="003B747B" w:rsidP="003B747B">
      <w:pPr>
        <w:jc w:val="both"/>
        <w:rPr>
          <w:rFonts w:ascii="Arial" w:hAnsi="Arial"/>
          <w:sz w:val="24"/>
        </w:rPr>
      </w:pPr>
      <w:r w:rsidRPr="003B747B">
        <w:rPr>
          <w:rFonts w:ascii="Arial" w:hAnsi="Arial"/>
          <w:sz w:val="24"/>
        </w:rPr>
        <w:t>- i servizi vengono valutati fino al termine indicato nella certificazione o, in carenza, fino alla data del rilascio del certificato;</w:t>
      </w:r>
    </w:p>
    <w:p w:rsidR="003B747B" w:rsidRPr="003B747B" w:rsidRDefault="003B747B" w:rsidP="003B747B">
      <w:pPr>
        <w:jc w:val="both"/>
        <w:rPr>
          <w:rFonts w:ascii="Arial" w:hAnsi="Arial"/>
          <w:sz w:val="24"/>
        </w:rPr>
      </w:pPr>
      <w:r w:rsidRPr="003B747B">
        <w:rPr>
          <w:rFonts w:ascii="Arial" w:hAnsi="Arial"/>
          <w:sz w:val="24"/>
        </w:rPr>
        <w:t>- in presenza di servizi contemporanei, valutabili tra i titoli di carriera, si procederà alla valutazione soltanto del servizio più favorevole al candidato;</w:t>
      </w:r>
    </w:p>
    <w:p w:rsidR="003B747B" w:rsidRPr="003B747B" w:rsidRDefault="003B747B" w:rsidP="003B747B">
      <w:pPr>
        <w:jc w:val="both"/>
        <w:rPr>
          <w:rFonts w:ascii="Arial" w:hAnsi="Arial"/>
          <w:sz w:val="24"/>
        </w:rPr>
      </w:pPr>
      <w:r w:rsidRPr="003B747B">
        <w:rPr>
          <w:rFonts w:ascii="Arial" w:hAnsi="Arial"/>
          <w:sz w:val="24"/>
        </w:rPr>
        <w:t>- in caso di omessa indicazione del giorno e/o del mese di inizio e/o di fine del servizio, il periodo sarà calcolato partendo dall’ultimo giorno del mese o dell’anno indicato quale decorrenza e fino al primo giorno del mese o dell’anno indicato quale termine; in caso di generica indicazione di anno accademico universitario, si considererà il periodo dal 1° novembre al 31 ottobre dell’anno successivo;</w:t>
      </w:r>
    </w:p>
    <w:p w:rsidR="003B747B" w:rsidRPr="003B747B" w:rsidRDefault="003B747B" w:rsidP="003B747B">
      <w:pPr>
        <w:jc w:val="both"/>
        <w:rPr>
          <w:rFonts w:ascii="Arial" w:hAnsi="Arial"/>
          <w:sz w:val="24"/>
        </w:rPr>
      </w:pPr>
      <w:r w:rsidRPr="003B747B">
        <w:rPr>
          <w:rFonts w:ascii="Arial" w:hAnsi="Arial"/>
          <w:sz w:val="24"/>
        </w:rPr>
        <w:t>- in caso di dubbia o di omessa indicazione di caratteristiche dei servizi prestati, influenti sulla valutazione, il servizio sarà valutato con il minor punteggio attribuibile, salvo che dal certificato non possano desumersi comunque gli elementi mancanti;</w:t>
      </w:r>
    </w:p>
    <w:p w:rsidR="003B747B" w:rsidRPr="003B747B" w:rsidRDefault="003B747B" w:rsidP="003B747B">
      <w:pPr>
        <w:jc w:val="both"/>
        <w:rPr>
          <w:rFonts w:ascii="Arial" w:hAnsi="Arial"/>
          <w:sz w:val="24"/>
        </w:rPr>
      </w:pPr>
      <w:r w:rsidRPr="003B747B">
        <w:rPr>
          <w:rFonts w:ascii="Arial" w:hAnsi="Arial"/>
          <w:sz w:val="24"/>
        </w:rPr>
        <w:t>- per la valutazione dei titoli di servizio, con particolare riferimento a quelli prestati in “altra posizione funzionale”, si richiama espressamente quanto comunicato in merito dal Ministro della Sanità con circolare 27.04.1998 n. DPS IV/9/11/749;</w:t>
      </w:r>
    </w:p>
    <w:p w:rsidR="003B747B" w:rsidRPr="003B747B" w:rsidRDefault="003B747B" w:rsidP="003B747B">
      <w:pPr>
        <w:jc w:val="both"/>
        <w:rPr>
          <w:rFonts w:ascii="Arial" w:hAnsi="Arial"/>
          <w:sz w:val="24"/>
        </w:rPr>
      </w:pPr>
      <w:r w:rsidRPr="003B747B">
        <w:rPr>
          <w:rFonts w:ascii="Arial" w:hAnsi="Arial"/>
          <w:sz w:val="24"/>
        </w:rPr>
        <w:t xml:space="preserve">- in carenza di indicazioni del bando della presente procedura e tenuto conto dell’art. 22 della Legge 24.12.1986 n. 958 e dell’art. 39 del </w:t>
      </w:r>
      <w:proofErr w:type="spellStart"/>
      <w:proofErr w:type="gramStart"/>
      <w:r w:rsidRPr="003B747B">
        <w:rPr>
          <w:rFonts w:ascii="Arial" w:hAnsi="Arial"/>
          <w:sz w:val="24"/>
        </w:rPr>
        <w:t>D.Lgs</w:t>
      </w:r>
      <w:proofErr w:type="gramEnd"/>
      <w:r w:rsidRPr="003B747B">
        <w:rPr>
          <w:rFonts w:ascii="Arial" w:hAnsi="Arial"/>
          <w:sz w:val="24"/>
        </w:rPr>
        <w:t>.</w:t>
      </w:r>
      <w:proofErr w:type="spellEnd"/>
      <w:r w:rsidRPr="003B747B">
        <w:rPr>
          <w:rFonts w:ascii="Arial" w:hAnsi="Arial"/>
          <w:sz w:val="24"/>
        </w:rPr>
        <w:t xml:space="preserve"> 12.05.1995 n. 196, </w:t>
      </w:r>
      <w:smartTag w:uri="urn:schemas-microsoft-com:office:smarttags" w:element="PersonName">
        <w:smartTagPr>
          <w:attr w:name="ProductID" w:val="La Commissione"/>
        </w:smartTagPr>
        <w:r w:rsidRPr="003B747B">
          <w:rPr>
            <w:rFonts w:ascii="Arial" w:hAnsi="Arial"/>
            <w:sz w:val="24"/>
          </w:rPr>
          <w:t>la Commissione</w:t>
        </w:r>
      </w:smartTag>
      <w:r w:rsidRPr="003B747B">
        <w:rPr>
          <w:rFonts w:ascii="Arial" w:hAnsi="Arial"/>
          <w:sz w:val="24"/>
        </w:rPr>
        <w:t xml:space="preserve"> decide di valutare nel modo seguente il servizio militare di leva:</w:t>
      </w:r>
    </w:p>
    <w:p w:rsidR="003B747B" w:rsidRPr="003B747B" w:rsidRDefault="003B747B" w:rsidP="003B747B">
      <w:pPr>
        <w:numPr>
          <w:ilvl w:val="0"/>
          <w:numId w:val="2"/>
        </w:numPr>
        <w:jc w:val="both"/>
        <w:rPr>
          <w:rFonts w:ascii="Arial" w:hAnsi="Arial"/>
          <w:sz w:val="24"/>
        </w:rPr>
      </w:pPr>
      <w:r w:rsidRPr="003B747B">
        <w:rPr>
          <w:rFonts w:ascii="Arial" w:hAnsi="Arial"/>
          <w:sz w:val="24"/>
        </w:rPr>
        <w:t xml:space="preserve">servizio quale Ufficiale Medico addetto o dirigente del Servizio sanitario di battaglione, di reparto operativo o di qualsiasi altra struttura diversa da ospedale militare: la stessa valutazione che viene attribuita per il “servizio di ruolo quale Medico presso pubbliche amministrazioni” </w:t>
      </w:r>
      <w:r w:rsidRPr="003B747B">
        <w:rPr>
          <w:rFonts w:ascii="Arial" w:hAnsi="Arial"/>
          <w:i/>
          <w:sz w:val="24"/>
        </w:rPr>
        <w:t>ex</w:t>
      </w:r>
      <w:r w:rsidRPr="003B747B">
        <w:rPr>
          <w:rFonts w:ascii="Arial" w:hAnsi="Arial"/>
          <w:sz w:val="24"/>
        </w:rPr>
        <w:t xml:space="preserve"> art. 27 del D.P.R. n. 483/1997;</w:t>
      </w:r>
    </w:p>
    <w:p w:rsidR="003B747B" w:rsidRPr="003B747B" w:rsidRDefault="003B747B" w:rsidP="003B747B">
      <w:pPr>
        <w:numPr>
          <w:ilvl w:val="0"/>
          <w:numId w:val="2"/>
        </w:numPr>
        <w:jc w:val="both"/>
        <w:rPr>
          <w:rFonts w:ascii="Arial" w:hAnsi="Arial"/>
          <w:sz w:val="24"/>
        </w:rPr>
      </w:pPr>
      <w:r w:rsidRPr="003B747B">
        <w:rPr>
          <w:rFonts w:ascii="Arial" w:hAnsi="Arial"/>
          <w:sz w:val="24"/>
        </w:rPr>
        <w:t>servizio militare prestato ai sensi del D.M. 27.01.1976: valutazione conseguente;</w:t>
      </w:r>
    </w:p>
    <w:p w:rsidR="003B747B" w:rsidRPr="003B747B" w:rsidRDefault="003B747B" w:rsidP="003B747B">
      <w:pPr>
        <w:numPr>
          <w:ilvl w:val="0"/>
          <w:numId w:val="2"/>
        </w:numPr>
        <w:jc w:val="both"/>
        <w:rPr>
          <w:rFonts w:ascii="Arial" w:hAnsi="Arial"/>
          <w:sz w:val="24"/>
        </w:rPr>
      </w:pPr>
      <w:r w:rsidRPr="003B747B">
        <w:rPr>
          <w:rFonts w:ascii="Arial" w:hAnsi="Arial"/>
          <w:sz w:val="24"/>
        </w:rPr>
        <w:t>servizio militare svolto in pendenza di rapporto di lavoro: la stessa valutazione che viene attribuita per il servizio sospeso, fatte salve le ipotesi a) e b) se più favorevoli;</w:t>
      </w:r>
    </w:p>
    <w:p w:rsidR="003B747B" w:rsidRPr="003B747B" w:rsidRDefault="003B747B" w:rsidP="003B747B">
      <w:pPr>
        <w:numPr>
          <w:ilvl w:val="0"/>
          <w:numId w:val="2"/>
        </w:numPr>
        <w:jc w:val="both"/>
        <w:rPr>
          <w:rFonts w:ascii="Arial" w:hAnsi="Arial"/>
          <w:sz w:val="24"/>
        </w:rPr>
      </w:pPr>
      <w:r w:rsidRPr="003B747B">
        <w:rPr>
          <w:rFonts w:ascii="Arial" w:hAnsi="Arial"/>
          <w:sz w:val="24"/>
        </w:rPr>
        <w:t xml:space="preserve">servizio militare in situazioni diverse dalle precedenti: valutazione conforme ai criteri stabiliti dal D.P.R. n. 483/1997 per il </w:t>
      </w:r>
      <w:r w:rsidRPr="003B747B">
        <w:rPr>
          <w:rFonts w:ascii="Arial" w:hAnsi="Arial"/>
          <w:i/>
          <w:sz w:val="24"/>
        </w:rPr>
        <w:t>curriculum</w:t>
      </w:r>
      <w:r w:rsidRPr="003B747B">
        <w:rPr>
          <w:rFonts w:ascii="Arial" w:hAnsi="Arial"/>
          <w:sz w:val="24"/>
        </w:rPr>
        <w:t xml:space="preserve"> formativo e professionale;</w:t>
      </w:r>
    </w:p>
    <w:p w:rsidR="003B747B" w:rsidRPr="003B747B" w:rsidRDefault="003B747B" w:rsidP="003B747B">
      <w:pPr>
        <w:jc w:val="both"/>
        <w:rPr>
          <w:rFonts w:ascii="Arial" w:hAnsi="Arial"/>
          <w:sz w:val="24"/>
        </w:rPr>
      </w:pPr>
      <w:r w:rsidRPr="003B747B">
        <w:rPr>
          <w:rFonts w:ascii="Arial" w:hAnsi="Arial"/>
          <w:sz w:val="24"/>
        </w:rPr>
        <w:t xml:space="preserve">- lo specifico punteggio previsto all’art. 27, comma 7, del D.P.R. n. 483/1997, per la valutazione della specializzazione conseguita ai sensi del </w:t>
      </w:r>
      <w:proofErr w:type="spellStart"/>
      <w:proofErr w:type="gramStart"/>
      <w:r w:rsidRPr="003B747B">
        <w:rPr>
          <w:rFonts w:ascii="Arial" w:hAnsi="Arial"/>
          <w:sz w:val="24"/>
        </w:rPr>
        <w:t>D.Lgs</w:t>
      </w:r>
      <w:proofErr w:type="gramEnd"/>
      <w:r w:rsidRPr="003B747B">
        <w:rPr>
          <w:rFonts w:ascii="Arial" w:hAnsi="Arial"/>
          <w:sz w:val="24"/>
        </w:rPr>
        <w:t>.</w:t>
      </w:r>
      <w:proofErr w:type="spellEnd"/>
      <w:r w:rsidRPr="003B747B">
        <w:rPr>
          <w:rFonts w:ascii="Arial" w:hAnsi="Arial"/>
          <w:sz w:val="24"/>
        </w:rPr>
        <w:t xml:space="preserve"> 08.08.1991 n. 257, sarà attribuito quando dal relativo certificato, o da altra documentazione prodotta, sia desumibile che tale specializzazione sia stata effettivamente conseguita ai sensi del Decreto Legislativo predetto; </w:t>
      </w:r>
    </w:p>
    <w:p w:rsidR="003B747B" w:rsidRPr="003B747B" w:rsidRDefault="003B747B" w:rsidP="003B747B">
      <w:pPr>
        <w:jc w:val="both"/>
        <w:rPr>
          <w:rFonts w:ascii="Arial" w:hAnsi="Arial"/>
          <w:sz w:val="24"/>
        </w:rPr>
      </w:pPr>
      <w:r w:rsidRPr="003B747B">
        <w:rPr>
          <w:rFonts w:ascii="Arial" w:hAnsi="Arial"/>
          <w:sz w:val="24"/>
        </w:rPr>
        <w:t>- non potrà essere oggetto di valutazione l’attività svolta quale normale compito d’istituto;</w:t>
      </w:r>
    </w:p>
    <w:p w:rsidR="003B747B" w:rsidRPr="003B747B" w:rsidRDefault="003B747B" w:rsidP="003B747B">
      <w:pPr>
        <w:jc w:val="both"/>
        <w:rPr>
          <w:rFonts w:ascii="Arial" w:hAnsi="Arial"/>
          <w:sz w:val="24"/>
        </w:rPr>
      </w:pPr>
      <w:r w:rsidRPr="003B747B">
        <w:rPr>
          <w:rFonts w:ascii="Arial" w:hAnsi="Arial"/>
          <w:sz w:val="24"/>
        </w:rPr>
        <w:lastRenderedPageBreak/>
        <w:t>- la casistica operatoria verrà valutata solamente se effettuata dopo la specializzazione e se vidimata dal Direttore della Struttura o dal Direttore Sanitario;</w:t>
      </w:r>
    </w:p>
    <w:p w:rsidR="003B747B" w:rsidRPr="003B747B" w:rsidRDefault="003B747B" w:rsidP="003B747B">
      <w:pPr>
        <w:jc w:val="both"/>
        <w:rPr>
          <w:rFonts w:ascii="Arial" w:hAnsi="Arial"/>
          <w:sz w:val="24"/>
        </w:rPr>
      </w:pPr>
      <w:r w:rsidRPr="003B747B">
        <w:rPr>
          <w:rFonts w:ascii="Arial" w:hAnsi="Arial"/>
          <w:sz w:val="24"/>
        </w:rPr>
        <w:t>- non si valutano gli attestati esclusivamente laudativi.</w:t>
      </w:r>
    </w:p>
    <w:p w:rsidR="003B747B" w:rsidRPr="003B747B" w:rsidRDefault="003B747B" w:rsidP="003B747B">
      <w:pPr>
        <w:jc w:val="both"/>
        <w:rPr>
          <w:rFonts w:ascii="Arial" w:hAnsi="Arial"/>
          <w:sz w:val="24"/>
        </w:rPr>
      </w:pPr>
    </w:p>
    <w:p w:rsidR="003B747B" w:rsidRPr="003B747B" w:rsidRDefault="003B747B" w:rsidP="003B747B">
      <w:pPr>
        <w:jc w:val="both"/>
        <w:rPr>
          <w:rFonts w:ascii="Arial" w:hAnsi="Arial"/>
          <w:sz w:val="24"/>
        </w:rPr>
      </w:pPr>
    </w:p>
    <w:p w:rsidR="003B747B" w:rsidRPr="003B747B" w:rsidRDefault="003B747B" w:rsidP="003B747B">
      <w:pPr>
        <w:jc w:val="both"/>
        <w:rPr>
          <w:rFonts w:ascii="Arial" w:hAnsi="Arial"/>
          <w:sz w:val="24"/>
        </w:rPr>
      </w:pPr>
      <w:r w:rsidRPr="003B747B">
        <w:rPr>
          <w:rFonts w:ascii="Arial" w:hAnsi="Arial"/>
          <w:sz w:val="24"/>
        </w:rPr>
        <w:tab/>
        <w:t>Le pubblicazioni saranno valutate sulla base di un preciso esame di merito dei singoli lavori presentati, avuti presente i criteri generali analiticamente indicati all’art. 11 succitato; nel caso non sia espressamente indicato l’apporto del candidato si assume che ciascun coautore abbia contribuito in pari misura alla realizzazione del lavoro.</w:t>
      </w:r>
    </w:p>
    <w:p w:rsidR="003B747B" w:rsidRPr="003B747B" w:rsidRDefault="003B747B" w:rsidP="003B747B">
      <w:pPr>
        <w:jc w:val="both"/>
        <w:rPr>
          <w:rFonts w:ascii="Arial" w:hAnsi="Arial"/>
          <w:sz w:val="24"/>
        </w:rPr>
      </w:pPr>
    </w:p>
    <w:p w:rsidR="003B747B" w:rsidRPr="003B747B" w:rsidRDefault="003B747B" w:rsidP="003B747B">
      <w:pPr>
        <w:rPr>
          <w:rFonts w:ascii="Arial" w:hAnsi="Arial"/>
          <w:sz w:val="24"/>
        </w:rPr>
      </w:pPr>
    </w:p>
    <w:p w:rsidR="003B747B" w:rsidRPr="003B747B" w:rsidRDefault="003B747B" w:rsidP="003B747B">
      <w:pPr>
        <w:jc w:val="both"/>
        <w:rPr>
          <w:rFonts w:ascii="Arial" w:hAnsi="Arial"/>
          <w:sz w:val="24"/>
        </w:rPr>
      </w:pPr>
      <w:r w:rsidRPr="003B747B">
        <w:rPr>
          <w:rFonts w:ascii="Arial" w:hAnsi="Arial"/>
          <w:sz w:val="24"/>
        </w:rPr>
        <w:tab/>
        <w:t xml:space="preserve">Nell’ambito del </w:t>
      </w:r>
      <w:r w:rsidRPr="003B747B">
        <w:rPr>
          <w:rFonts w:ascii="Arial" w:hAnsi="Arial"/>
          <w:i/>
          <w:sz w:val="24"/>
        </w:rPr>
        <w:t>curriculum</w:t>
      </w:r>
      <w:r w:rsidRPr="003B747B">
        <w:rPr>
          <w:rFonts w:ascii="Arial" w:hAnsi="Arial"/>
          <w:sz w:val="24"/>
        </w:rPr>
        <w:t xml:space="preserve"> formativo e professionale, tenuto conto dei criteri generali stabiliti dall’art. 11 del D.P.R. n. 483/1997, si valuterà ogni titolo ivi riferibile, sulla base della attinenza, della durata e della importanza del titolo stesso in relazione al posto da conferire; il punteggio complessivo attribuito per la presente categoria dovrà essere adeguatamente motivato con riguardo ai singoli elementi documentali che hanno contribuito a determinarlo.</w:t>
      </w:r>
    </w:p>
    <w:p w:rsidR="003B747B" w:rsidRPr="003B747B" w:rsidRDefault="003B747B" w:rsidP="003B747B">
      <w:pPr>
        <w:jc w:val="both"/>
        <w:rPr>
          <w:rFonts w:ascii="Arial" w:hAnsi="Arial"/>
          <w:sz w:val="24"/>
        </w:rPr>
      </w:pPr>
    </w:p>
    <w:p w:rsidR="003B747B" w:rsidRPr="003B747B" w:rsidRDefault="003B747B" w:rsidP="003B747B">
      <w:pPr>
        <w:jc w:val="both"/>
        <w:rPr>
          <w:rFonts w:ascii="Arial" w:hAnsi="Arial"/>
          <w:sz w:val="24"/>
        </w:rPr>
      </w:pPr>
      <w:r w:rsidRPr="003B747B">
        <w:rPr>
          <w:rFonts w:ascii="Arial" w:hAnsi="Arial"/>
          <w:sz w:val="24"/>
        </w:rPr>
        <w:tab/>
      </w:r>
      <w:smartTag w:uri="urn:schemas-microsoft-com:office:smarttags" w:element="PersonName">
        <w:smartTagPr>
          <w:attr w:name="ProductID" w:val="La Commissione"/>
        </w:smartTagPr>
        <w:r w:rsidRPr="003B747B">
          <w:rPr>
            <w:rFonts w:ascii="Arial" w:hAnsi="Arial"/>
            <w:sz w:val="24"/>
          </w:rPr>
          <w:t>La Commissione</w:t>
        </w:r>
      </w:smartTag>
      <w:r w:rsidRPr="003B747B">
        <w:rPr>
          <w:rFonts w:ascii="Arial" w:hAnsi="Arial"/>
          <w:sz w:val="24"/>
        </w:rPr>
        <w:t xml:space="preserve"> decide inoltre di prefissare il punteggio da attribuire ad alcuni titoli che con maggiore frequenza si riscontrano nella valutazione del curriculum formativo e professionale, al fine di rendere più trasparente ed obiettivo l’operato della Commissione:</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4"/>
        <w:gridCol w:w="7103"/>
        <w:gridCol w:w="1323"/>
        <w:gridCol w:w="970"/>
      </w:tblGrid>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rPr>
              <w:t>Cod.</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Regola</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rPr>
              <w:t>Punti</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proofErr w:type="spellStart"/>
            <w:r w:rsidRPr="003B747B">
              <w:rPr>
                <w:rFonts w:ascii="Calibri" w:hAnsi="Calibri"/>
              </w:rPr>
              <w:t>x</w:t>
            </w:r>
            <w:proofErr w:type="spellEnd"/>
            <w:r w:rsidRPr="003B747B">
              <w:rPr>
                <w:rFonts w:ascii="Calibri" w:hAnsi="Calibri"/>
              </w:rPr>
              <w:t xml:space="preserve"> mesi</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405</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Medico in libera professione, consulenza, co.co.co. presso SSN/PA</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0,360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12</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406</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Medico in libera professione, consulenza, co.co.co. presso enti privati</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0,240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12</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410</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Borsa di studio e assegni di ricerca presso SSN/PA</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0,600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12</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411</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Borsa di studio e assegni di ricerca presso privati</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0,300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12</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412</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Interinale presso SSN/PA</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0,600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12</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415</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Medico frequenza volontaria e stage</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0,120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12</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416</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Attività ambulatoriale interna nella disciplina</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1,000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12</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417</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Attività ambulatoriale interna in disciplina affine</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0,750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12</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418</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Attività ambulatoriale interna in altra disciplina</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0,500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12</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420</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Medico Specialista presso enti privati</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0,300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12</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430</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Medico specialista presso ente pubblico all'estero senza riconoscimento ai sensi del decreto</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0,300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12</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435</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Attività di docenza a corsi universitari</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0,100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440</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Attività di docenza a corsi non universitari</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0,060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445</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Master universitario</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0,100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450</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Dottorato di ricerca</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0,100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465</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Partecipazione a corsi, convegni, congressi con esame finale / crediti ECM -  post specializzazione</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0,020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470</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Partecipazione a corsi, convegni, congressi in qualità di docente o relatore - post specializzazione</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0,030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471</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Tutor a corsi di perfezionamento post specializzazione</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0,030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475</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Partecipazione a corsi di perfezionamento</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0,050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480</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Attestati di lingua straniera / patente ECDL / corsi informatica</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0,020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lastRenderedPageBreak/>
              <w:t>485</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Partecipazione a corsi, convegni, congressi ecc. quale uditore</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0,010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490</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Titoli vari</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0,000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496</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Altri titoli</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sz w:val="20"/>
              </w:rPr>
            </w:pPr>
            <w:r w:rsidRPr="003B747B">
              <w:rPr>
                <w:rFonts w:ascii="Calibri" w:hAnsi="Calibri"/>
                <w:noProof/>
                <w:sz w:val="20"/>
              </w:rPr>
              <w:t>a giudizio della commissione</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w:t>
            </w:r>
          </w:p>
        </w:tc>
      </w:tr>
      <w:tr w:rsidR="003B747B" w:rsidRPr="003B747B" w:rsidTr="00D72666">
        <w:tc>
          <w:tcPr>
            <w:tcW w:w="1094"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498</w:t>
            </w:r>
          </w:p>
        </w:tc>
        <w:tc>
          <w:tcPr>
            <w:tcW w:w="710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both"/>
              <w:rPr>
                <w:rFonts w:ascii="Calibri" w:hAnsi="Calibri"/>
              </w:rPr>
            </w:pPr>
            <w:r w:rsidRPr="003B747B">
              <w:rPr>
                <w:rFonts w:ascii="Calibri" w:hAnsi="Calibri"/>
              </w:rPr>
              <w:t>Titoli non valutabili</w:t>
            </w:r>
          </w:p>
        </w:tc>
        <w:tc>
          <w:tcPr>
            <w:tcW w:w="1323"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0,000</w:t>
            </w:r>
          </w:p>
        </w:tc>
        <w:tc>
          <w:tcPr>
            <w:tcW w:w="970" w:type="dxa"/>
            <w:tcBorders>
              <w:top w:val="single" w:sz="4" w:space="0" w:color="auto"/>
              <w:left w:val="single" w:sz="4" w:space="0" w:color="auto"/>
              <w:bottom w:val="single" w:sz="4" w:space="0" w:color="auto"/>
              <w:right w:val="single" w:sz="4" w:space="0" w:color="auto"/>
            </w:tcBorders>
            <w:vAlign w:val="center"/>
          </w:tcPr>
          <w:p w:rsidR="003B747B" w:rsidRPr="003B747B" w:rsidRDefault="003B747B" w:rsidP="003B747B">
            <w:pPr>
              <w:tabs>
                <w:tab w:val="right" w:pos="9923"/>
              </w:tabs>
              <w:spacing w:before="20"/>
              <w:jc w:val="center"/>
              <w:rPr>
                <w:rFonts w:ascii="Calibri" w:hAnsi="Calibri"/>
              </w:rPr>
            </w:pPr>
            <w:r w:rsidRPr="003B747B">
              <w:rPr>
                <w:rFonts w:ascii="Calibri" w:hAnsi="Calibri"/>
                <w:noProof/>
              </w:rPr>
              <w:t>0</w:t>
            </w:r>
          </w:p>
        </w:tc>
      </w:tr>
    </w:tbl>
    <w:p w:rsidR="003B747B" w:rsidRPr="003B747B" w:rsidRDefault="003B747B" w:rsidP="003B747B">
      <w:pPr>
        <w:jc w:val="both"/>
        <w:rPr>
          <w:rFonts w:ascii="Arial" w:hAnsi="Arial"/>
          <w:sz w:val="24"/>
        </w:rPr>
      </w:pPr>
    </w:p>
    <w:p w:rsidR="003B747B" w:rsidRPr="003B747B" w:rsidRDefault="003B747B" w:rsidP="003B747B">
      <w:pPr>
        <w:ind w:firstLine="708"/>
        <w:jc w:val="both"/>
        <w:rPr>
          <w:rFonts w:ascii="Arial" w:hAnsi="Arial"/>
          <w:sz w:val="24"/>
        </w:rPr>
      </w:pPr>
      <w:r w:rsidRPr="003B747B">
        <w:rPr>
          <w:rFonts w:ascii="Arial" w:hAnsi="Arial"/>
          <w:sz w:val="24"/>
        </w:rPr>
        <w:t xml:space="preserve">Laddove sia stato previsto un punteggio massimo, esso si intende attribuibile in situazioni di attinenza o di stretta affinità con il profilo a concorso e di elevato impegno qualitativo e quantitativo da parte del candidato; nei casi in cui non si realizzino tali requisiti il punteggio sarà ridotto sulla base di una attenta valutazione dei singoli titoli. </w:t>
      </w:r>
    </w:p>
    <w:p w:rsidR="003B747B" w:rsidRPr="003B747B" w:rsidRDefault="003B747B" w:rsidP="003B747B">
      <w:pPr>
        <w:jc w:val="both"/>
        <w:rPr>
          <w:rFonts w:ascii="Arial" w:hAnsi="Arial"/>
          <w:sz w:val="24"/>
        </w:rPr>
      </w:pPr>
    </w:p>
    <w:p w:rsidR="003B747B" w:rsidRPr="003B747B" w:rsidRDefault="003B747B" w:rsidP="003B747B">
      <w:pPr>
        <w:jc w:val="both"/>
        <w:rPr>
          <w:rFonts w:ascii="Arial" w:hAnsi="Arial"/>
          <w:sz w:val="24"/>
        </w:rPr>
      </w:pPr>
      <w:r w:rsidRPr="003B747B">
        <w:rPr>
          <w:rFonts w:ascii="Arial" w:hAnsi="Arial"/>
          <w:sz w:val="24"/>
        </w:rPr>
        <w:tab/>
        <w:t>Ogni altro problema che dovesse presentarsi circa la valutazione dei titoli sarà affrontato e motivatamente risolto all’atto della valutazione, tenuto conto dei criteri generali sopra definiti.</w:t>
      </w:r>
    </w:p>
    <w:p w:rsidR="003B747B" w:rsidRPr="003B747B" w:rsidRDefault="003B747B" w:rsidP="003B747B">
      <w:pPr>
        <w:jc w:val="both"/>
        <w:rPr>
          <w:rFonts w:ascii="Arial" w:hAnsi="Arial"/>
          <w:sz w:val="24"/>
        </w:rPr>
      </w:pPr>
    </w:p>
    <w:p w:rsidR="003B747B" w:rsidRPr="003B747B" w:rsidRDefault="003B747B" w:rsidP="003B747B">
      <w:pPr>
        <w:jc w:val="both"/>
        <w:rPr>
          <w:rFonts w:ascii="Arial" w:hAnsi="Arial"/>
          <w:sz w:val="24"/>
        </w:rPr>
      </w:pPr>
      <w:r w:rsidRPr="003B747B">
        <w:rPr>
          <w:rFonts w:ascii="Arial" w:hAnsi="Arial"/>
          <w:sz w:val="24"/>
        </w:rPr>
        <w:tab/>
        <w:t xml:space="preserve">Per ciò che concerne i criteri di valutazione della prova scritta </w:t>
      </w:r>
      <w:smartTag w:uri="urn:schemas-microsoft-com:office:smarttags" w:element="PersonName">
        <w:smartTagPr>
          <w:attr w:name="ProductID" w:val="La Commissione"/>
        </w:smartTagPr>
        <w:r w:rsidRPr="003B747B">
          <w:rPr>
            <w:rFonts w:ascii="Arial" w:hAnsi="Arial"/>
            <w:sz w:val="24"/>
          </w:rPr>
          <w:t>la Commissione</w:t>
        </w:r>
      </w:smartTag>
      <w:r w:rsidRPr="003B747B">
        <w:rPr>
          <w:rFonts w:ascii="Arial" w:hAnsi="Arial"/>
          <w:sz w:val="24"/>
        </w:rPr>
        <w:t xml:space="preserve"> unanime stabilisce che la stessa verrà valutata sulla base di una puntuale illustrazione dell’argomento oggetto della prova.</w:t>
      </w:r>
    </w:p>
    <w:p w:rsidR="003B747B" w:rsidRPr="003B747B" w:rsidRDefault="003B747B" w:rsidP="003B747B">
      <w:pPr>
        <w:jc w:val="both"/>
        <w:rPr>
          <w:rFonts w:ascii="Arial" w:hAnsi="Arial"/>
          <w:sz w:val="24"/>
        </w:rPr>
      </w:pPr>
    </w:p>
    <w:p w:rsidR="003B747B" w:rsidRPr="003B747B" w:rsidRDefault="003B747B" w:rsidP="003B747B">
      <w:pPr>
        <w:jc w:val="both"/>
        <w:rPr>
          <w:rFonts w:ascii="Arial" w:hAnsi="Arial"/>
          <w:sz w:val="24"/>
        </w:rPr>
      </w:pPr>
      <w:r w:rsidRPr="003B747B">
        <w:rPr>
          <w:rFonts w:ascii="Arial" w:hAnsi="Arial"/>
          <w:sz w:val="24"/>
        </w:rPr>
        <w:tab/>
        <w:t xml:space="preserve">Per ciò che concerne i criteri di valutazione della prova pratica </w:t>
      </w:r>
      <w:smartTag w:uri="urn:schemas-microsoft-com:office:smarttags" w:element="PersonName">
        <w:smartTagPr>
          <w:attr w:name="ProductID" w:val="La Commissione"/>
        </w:smartTagPr>
        <w:r w:rsidRPr="003B747B">
          <w:rPr>
            <w:rFonts w:ascii="Arial" w:hAnsi="Arial"/>
            <w:sz w:val="24"/>
          </w:rPr>
          <w:t>la Commissione</w:t>
        </w:r>
      </w:smartTag>
      <w:r w:rsidRPr="003B747B">
        <w:rPr>
          <w:rFonts w:ascii="Arial" w:hAnsi="Arial"/>
          <w:sz w:val="24"/>
        </w:rPr>
        <w:t xml:space="preserve"> unanime stabilisce che la prova verrà valutata sulla base della conoscenza dell’argomento, della correttezza dell’approccio diagnostico al problema prospettato e, infine, della conoscenza anche teorica del problema dimostrata nella discussione che viene fatta durante la prova.</w:t>
      </w:r>
    </w:p>
    <w:p w:rsidR="003B747B" w:rsidRPr="003B747B" w:rsidRDefault="003B747B" w:rsidP="003B747B">
      <w:pPr>
        <w:jc w:val="both"/>
        <w:rPr>
          <w:rFonts w:ascii="Arial" w:hAnsi="Arial"/>
          <w:sz w:val="24"/>
        </w:rPr>
      </w:pPr>
    </w:p>
    <w:p w:rsidR="003B747B" w:rsidRPr="003B747B" w:rsidRDefault="003B747B" w:rsidP="003B747B">
      <w:pPr>
        <w:jc w:val="both"/>
        <w:rPr>
          <w:rFonts w:ascii="Arial" w:hAnsi="Arial"/>
          <w:sz w:val="24"/>
        </w:rPr>
      </w:pPr>
      <w:r w:rsidRPr="003B747B">
        <w:rPr>
          <w:rFonts w:ascii="Arial" w:hAnsi="Arial"/>
          <w:sz w:val="24"/>
        </w:rPr>
        <w:tab/>
        <w:t xml:space="preserve">Per lo svolgimento della prova orale </w:t>
      </w:r>
      <w:smartTag w:uri="urn:schemas-microsoft-com:office:smarttags" w:element="PersonName">
        <w:smartTagPr>
          <w:attr w:name="ProductID" w:val="La Commissione"/>
        </w:smartTagPr>
        <w:r w:rsidRPr="003B747B">
          <w:rPr>
            <w:rFonts w:ascii="Arial" w:hAnsi="Arial"/>
            <w:sz w:val="24"/>
          </w:rPr>
          <w:t>la Commissione</w:t>
        </w:r>
      </w:smartTag>
      <w:r w:rsidRPr="003B747B">
        <w:rPr>
          <w:rFonts w:ascii="Arial" w:hAnsi="Arial"/>
          <w:sz w:val="24"/>
        </w:rPr>
        <w:t xml:space="preserve"> vorrebbe sottoporre a tutti i candidati lo stesso quesito orale al fine di poter effettuare una valutazione comparativa rispetto ad uno stesso grado di difficoltà e di ciò ne darà comunicazione ai candidati dopo l’espletamento della prova pratica.</w:t>
      </w:r>
    </w:p>
    <w:p w:rsidR="003B747B" w:rsidRPr="003B747B" w:rsidRDefault="003B747B" w:rsidP="003B747B">
      <w:pPr>
        <w:jc w:val="both"/>
        <w:rPr>
          <w:rFonts w:ascii="Arial" w:hAnsi="Arial"/>
          <w:b/>
          <w:sz w:val="24"/>
        </w:rPr>
      </w:pPr>
    </w:p>
    <w:p w:rsidR="003B747B" w:rsidRPr="00C13A97" w:rsidRDefault="003B747B">
      <w:pPr>
        <w:rPr>
          <w:rFonts w:ascii="Arial" w:hAnsi="Arial" w:cs="Arial"/>
        </w:rPr>
      </w:pPr>
      <w:r w:rsidRPr="00C13A97">
        <w:rPr>
          <w:rFonts w:ascii="Arial" w:hAnsi="Arial" w:cs="Arial"/>
        </w:rPr>
        <w:t>PROVA SCRITTA:</w:t>
      </w:r>
    </w:p>
    <w:p w:rsidR="003B747B" w:rsidRDefault="003B747B"/>
    <w:p w:rsidR="003B747B" w:rsidRPr="00303C3C" w:rsidRDefault="003B747B" w:rsidP="003B747B">
      <w:pPr>
        <w:pStyle w:val="Paragrafoelenco"/>
        <w:numPr>
          <w:ilvl w:val="0"/>
          <w:numId w:val="3"/>
        </w:numPr>
        <w:contextualSpacing w:val="0"/>
        <w:rPr>
          <w:rFonts w:ascii="Arial" w:eastAsia="Times New Roman" w:hAnsi="Arial"/>
        </w:rPr>
      </w:pPr>
      <w:r w:rsidRPr="00303C3C">
        <w:rPr>
          <w:rFonts w:ascii="Arial" w:eastAsia="Times New Roman" w:hAnsi="Arial"/>
        </w:rPr>
        <w:t>Gestione in urgenza dell’ictus ischemico acuto</w:t>
      </w:r>
    </w:p>
    <w:p w:rsidR="003B747B" w:rsidRPr="00303C3C" w:rsidRDefault="003B747B" w:rsidP="003B747B">
      <w:pPr>
        <w:pStyle w:val="Paragrafoelenco"/>
        <w:rPr>
          <w:rFonts w:ascii="Arial" w:eastAsia="Times New Roman" w:hAnsi="Arial"/>
        </w:rPr>
      </w:pPr>
    </w:p>
    <w:p w:rsidR="003B747B" w:rsidRPr="00303C3C" w:rsidRDefault="003B747B" w:rsidP="003B747B">
      <w:pPr>
        <w:pStyle w:val="Paragrafoelenco"/>
        <w:numPr>
          <w:ilvl w:val="0"/>
          <w:numId w:val="3"/>
        </w:numPr>
        <w:contextualSpacing w:val="0"/>
        <w:rPr>
          <w:rFonts w:ascii="Arial" w:eastAsia="Times New Roman" w:hAnsi="Arial"/>
        </w:rPr>
      </w:pPr>
      <w:r w:rsidRPr="00303C3C">
        <w:rPr>
          <w:rFonts w:ascii="Arial" w:eastAsia="Times New Roman" w:hAnsi="Arial"/>
        </w:rPr>
        <w:t>Trattamento della Sclerosi Multipla: linee guida e raccomandazioni</w:t>
      </w:r>
    </w:p>
    <w:p w:rsidR="003B747B" w:rsidRPr="00303C3C" w:rsidRDefault="003B747B" w:rsidP="003B747B">
      <w:pPr>
        <w:pStyle w:val="Paragrafoelenco"/>
        <w:rPr>
          <w:rFonts w:ascii="Arial" w:eastAsia="Times New Roman" w:hAnsi="Arial"/>
        </w:rPr>
      </w:pPr>
    </w:p>
    <w:p w:rsidR="003B747B" w:rsidRDefault="003B747B" w:rsidP="003B747B">
      <w:pPr>
        <w:pStyle w:val="Paragrafoelenco"/>
        <w:numPr>
          <w:ilvl w:val="0"/>
          <w:numId w:val="3"/>
        </w:numPr>
        <w:contextualSpacing w:val="0"/>
        <w:rPr>
          <w:rFonts w:ascii="Arial" w:eastAsia="Times New Roman" w:hAnsi="Arial"/>
        </w:rPr>
      </w:pPr>
      <w:proofErr w:type="spellStart"/>
      <w:r w:rsidRPr="00303C3C">
        <w:rPr>
          <w:rFonts w:ascii="Arial" w:eastAsia="Times New Roman" w:hAnsi="Arial"/>
        </w:rPr>
        <w:t>Thunderclap</w:t>
      </w:r>
      <w:proofErr w:type="spellEnd"/>
      <w:r w:rsidRPr="00303C3C">
        <w:rPr>
          <w:rFonts w:ascii="Arial" w:eastAsia="Times New Roman" w:hAnsi="Arial"/>
        </w:rPr>
        <w:t xml:space="preserve"> </w:t>
      </w:r>
      <w:proofErr w:type="spellStart"/>
      <w:r w:rsidRPr="00303C3C">
        <w:rPr>
          <w:rFonts w:ascii="Arial" w:eastAsia="Times New Roman" w:hAnsi="Arial"/>
        </w:rPr>
        <w:t>headache</w:t>
      </w:r>
      <w:proofErr w:type="spellEnd"/>
    </w:p>
    <w:p w:rsidR="003B747B" w:rsidRDefault="003B747B"/>
    <w:p w:rsidR="00C13A97" w:rsidRDefault="00C13A97"/>
    <w:p w:rsidR="00C13A97" w:rsidRPr="00C13A97" w:rsidRDefault="00C13A97" w:rsidP="00C13A97">
      <w:pPr>
        <w:rPr>
          <w:rFonts w:ascii="Arial" w:hAnsi="Arial" w:cs="Arial"/>
        </w:rPr>
      </w:pPr>
      <w:r w:rsidRPr="00C13A97">
        <w:rPr>
          <w:rFonts w:ascii="Arial" w:hAnsi="Arial" w:cs="Arial"/>
        </w:rPr>
        <w:t xml:space="preserve">PROVA </w:t>
      </w:r>
      <w:r>
        <w:rPr>
          <w:rFonts w:ascii="Arial" w:hAnsi="Arial" w:cs="Arial"/>
        </w:rPr>
        <w:t>PRATICA</w:t>
      </w:r>
      <w:r w:rsidRPr="00C13A97">
        <w:rPr>
          <w:rFonts w:ascii="Arial" w:hAnsi="Arial" w:cs="Arial"/>
        </w:rPr>
        <w:t>:</w:t>
      </w:r>
    </w:p>
    <w:p w:rsidR="00C13A97" w:rsidRDefault="00C13A97"/>
    <w:p w:rsidR="00C13A97" w:rsidRPr="00C13A97" w:rsidRDefault="00C13A97" w:rsidP="00C13A97">
      <w:pPr>
        <w:spacing w:after="160" w:line="259" w:lineRule="auto"/>
        <w:ind w:left="720"/>
        <w:contextualSpacing/>
        <w:rPr>
          <w:rFonts w:ascii="Arial" w:eastAsia="Calibri" w:hAnsi="Arial" w:cs="Arial"/>
          <w:sz w:val="24"/>
          <w:szCs w:val="24"/>
          <w:lang w:eastAsia="en-US"/>
        </w:rPr>
      </w:pPr>
      <w:r w:rsidRPr="00C13A97">
        <w:rPr>
          <w:rFonts w:ascii="Arial" w:eastAsia="Calibri" w:hAnsi="Arial" w:cs="Arial"/>
          <w:sz w:val="24"/>
          <w:szCs w:val="24"/>
          <w:lang w:eastAsia="en-US"/>
        </w:rPr>
        <w:t>1) 38 anni, APR muta; da 3 giorni febbricola e cefalea, giunge in DEA per crisi tonico-clonica generalizzata</w:t>
      </w:r>
    </w:p>
    <w:p w:rsidR="00C13A97" w:rsidRPr="00C13A97" w:rsidRDefault="00C13A97" w:rsidP="00C13A97">
      <w:pPr>
        <w:spacing w:after="160" w:line="259" w:lineRule="auto"/>
        <w:ind w:left="720"/>
        <w:contextualSpacing/>
        <w:rPr>
          <w:rFonts w:ascii="Arial" w:eastAsia="Calibri" w:hAnsi="Arial" w:cs="Arial"/>
          <w:sz w:val="24"/>
          <w:szCs w:val="24"/>
          <w:lang w:eastAsia="en-US"/>
        </w:rPr>
      </w:pPr>
      <w:r w:rsidRPr="00C13A97">
        <w:rPr>
          <w:rFonts w:ascii="Arial" w:eastAsia="Calibri" w:hAnsi="Arial" w:cs="Arial"/>
          <w:sz w:val="24"/>
          <w:szCs w:val="24"/>
          <w:lang w:eastAsia="en-US"/>
        </w:rPr>
        <w:t>EON: vigile, rallentato, disturbo mnesico, non deficit di lato</w:t>
      </w:r>
    </w:p>
    <w:p w:rsidR="00C13A97" w:rsidRPr="00C13A97" w:rsidRDefault="00C13A97" w:rsidP="00C13A97">
      <w:pPr>
        <w:spacing w:after="160" w:line="259" w:lineRule="auto"/>
        <w:ind w:left="720"/>
        <w:contextualSpacing/>
        <w:rPr>
          <w:rFonts w:ascii="Arial" w:eastAsia="Calibri" w:hAnsi="Arial" w:cs="Arial"/>
          <w:sz w:val="24"/>
          <w:szCs w:val="24"/>
          <w:lang w:eastAsia="en-US"/>
        </w:rPr>
      </w:pPr>
      <w:r w:rsidRPr="00C13A97">
        <w:rPr>
          <w:rFonts w:ascii="Arial" w:eastAsia="Calibri" w:hAnsi="Arial" w:cs="Arial"/>
          <w:sz w:val="24"/>
          <w:szCs w:val="24"/>
          <w:lang w:eastAsia="en-US"/>
        </w:rPr>
        <w:t>Parametri vitali in ordine, tranne T° 38°C</w:t>
      </w:r>
    </w:p>
    <w:p w:rsidR="00C13A97" w:rsidRPr="00C13A97" w:rsidRDefault="00C13A97" w:rsidP="00C13A97">
      <w:pPr>
        <w:spacing w:after="160" w:line="259" w:lineRule="auto"/>
        <w:ind w:left="720"/>
        <w:contextualSpacing/>
        <w:rPr>
          <w:rFonts w:ascii="Arial" w:eastAsia="Calibri" w:hAnsi="Arial" w:cs="Arial"/>
          <w:sz w:val="24"/>
          <w:szCs w:val="24"/>
          <w:lang w:eastAsia="en-US"/>
        </w:rPr>
      </w:pPr>
      <w:r w:rsidRPr="00C13A97">
        <w:rPr>
          <w:rFonts w:ascii="Arial" w:eastAsia="Calibri" w:hAnsi="Arial" w:cs="Arial"/>
          <w:sz w:val="24"/>
          <w:szCs w:val="24"/>
          <w:lang w:eastAsia="en-US"/>
        </w:rPr>
        <w:t>Inquadramento clinico-diagnostico alla luce della RM encefalo e dell’EEG.</w:t>
      </w:r>
    </w:p>
    <w:p w:rsidR="00C13A97" w:rsidRPr="00C13A97" w:rsidRDefault="00C13A97" w:rsidP="00C13A97">
      <w:pPr>
        <w:spacing w:after="160" w:line="259" w:lineRule="auto"/>
        <w:ind w:left="720"/>
        <w:contextualSpacing/>
        <w:rPr>
          <w:rFonts w:ascii="Arial" w:eastAsia="Calibri" w:hAnsi="Arial" w:cs="Arial"/>
          <w:sz w:val="24"/>
          <w:szCs w:val="24"/>
          <w:lang w:eastAsia="en-US"/>
        </w:rPr>
      </w:pPr>
    </w:p>
    <w:p w:rsidR="00C13A97" w:rsidRPr="00C13A97" w:rsidRDefault="00C13A97" w:rsidP="00C13A97">
      <w:pPr>
        <w:spacing w:after="160" w:line="259" w:lineRule="auto"/>
        <w:ind w:left="720"/>
        <w:contextualSpacing/>
        <w:rPr>
          <w:rFonts w:ascii="Arial" w:eastAsia="Calibri" w:hAnsi="Arial" w:cs="Arial"/>
          <w:sz w:val="24"/>
          <w:szCs w:val="24"/>
          <w:lang w:eastAsia="en-US"/>
        </w:rPr>
      </w:pPr>
      <w:r w:rsidRPr="00C13A97">
        <w:rPr>
          <w:rFonts w:ascii="Arial" w:eastAsia="Calibri" w:hAnsi="Arial" w:cs="Arial"/>
          <w:sz w:val="24"/>
          <w:szCs w:val="24"/>
          <w:lang w:eastAsia="en-US"/>
        </w:rPr>
        <w:t>2) Donna, 23 anni, APR muta, assume associazione EP.</w:t>
      </w:r>
    </w:p>
    <w:p w:rsidR="00C13A97" w:rsidRPr="00C13A97" w:rsidRDefault="00C13A97" w:rsidP="00C13A97">
      <w:pPr>
        <w:spacing w:after="160" w:line="259" w:lineRule="auto"/>
        <w:ind w:left="720"/>
        <w:contextualSpacing/>
        <w:rPr>
          <w:rFonts w:ascii="Arial" w:eastAsia="Calibri" w:hAnsi="Arial" w:cs="Arial"/>
          <w:sz w:val="24"/>
          <w:szCs w:val="24"/>
          <w:lang w:eastAsia="en-US"/>
        </w:rPr>
      </w:pPr>
      <w:r w:rsidRPr="00C13A97">
        <w:rPr>
          <w:rFonts w:ascii="Arial" w:eastAsia="Calibri" w:hAnsi="Arial" w:cs="Arial"/>
          <w:sz w:val="24"/>
          <w:szCs w:val="24"/>
          <w:lang w:eastAsia="en-US"/>
        </w:rPr>
        <w:lastRenderedPageBreak/>
        <w:t>Progressiva subacuta insorgenza di paraparesi con livello sensitivo a T4 e ritenzione urinaria.</w:t>
      </w:r>
    </w:p>
    <w:p w:rsidR="00C13A97" w:rsidRPr="00C13A97" w:rsidRDefault="00C13A97" w:rsidP="00C13A97">
      <w:pPr>
        <w:spacing w:after="160" w:line="259" w:lineRule="auto"/>
        <w:ind w:left="720"/>
        <w:contextualSpacing/>
        <w:rPr>
          <w:rFonts w:ascii="Arial" w:eastAsia="Calibri" w:hAnsi="Arial" w:cs="Arial"/>
          <w:sz w:val="24"/>
          <w:szCs w:val="24"/>
          <w:lang w:eastAsia="en-US"/>
        </w:rPr>
      </w:pPr>
      <w:r w:rsidRPr="00C13A97">
        <w:rPr>
          <w:rFonts w:ascii="Arial" w:eastAsia="Calibri" w:hAnsi="Arial" w:cs="Arial"/>
          <w:sz w:val="24"/>
          <w:szCs w:val="24"/>
          <w:lang w:eastAsia="en-US"/>
        </w:rPr>
        <w:t>Approccio diagnostico e diagnosi differenziale alla luce del quadro RM.</w:t>
      </w:r>
    </w:p>
    <w:p w:rsidR="00C13A97" w:rsidRPr="00C13A97" w:rsidRDefault="00C13A97" w:rsidP="00C13A97">
      <w:pPr>
        <w:spacing w:after="160" w:line="259" w:lineRule="auto"/>
        <w:ind w:left="720"/>
        <w:contextualSpacing/>
        <w:rPr>
          <w:rFonts w:ascii="Arial" w:eastAsia="Calibri" w:hAnsi="Arial" w:cs="Arial"/>
          <w:sz w:val="24"/>
          <w:szCs w:val="24"/>
          <w:lang w:eastAsia="en-US"/>
        </w:rPr>
      </w:pPr>
    </w:p>
    <w:p w:rsidR="00C13A97" w:rsidRPr="00C13A97" w:rsidRDefault="00C13A97" w:rsidP="00C13A97">
      <w:pPr>
        <w:spacing w:after="160" w:line="259" w:lineRule="auto"/>
        <w:ind w:left="720"/>
        <w:contextualSpacing/>
        <w:rPr>
          <w:rFonts w:ascii="Arial" w:eastAsia="Calibri" w:hAnsi="Arial" w:cs="Arial"/>
          <w:sz w:val="24"/>
          <w:szCs w:val="24"/>
          <w:lang w:eastAsia="en-US"/>
        </w:rPr>
      </w:pPr>
      <w:r w:rsidRPr="00C13A97">
        <w:rPr>
          <w:rFonts w:ascii="Arial" w:eastAsia="Calibri" w:hAnsi="Arial" w:cs="Arial"/>
          <w:sz w:val="24"/>
          <w:szCs w:val="24"/>
          <w:lang w:eastAsia="en-US"/>
        </w:rPr>
        <w:t>3) Uomo di 45 anni giunge in DEA per disturbo di sensibilità ascendente ed ingravescente agli arti inferiori da circa 5 giorni; 1 mese prima sindrome influenzale; all’EON ipoestesia TA-TE-DO-PA arti inferiori senza chiaro livello, minimo deficit stenico segmentale prevalentemente distale agli arti inferiori, ROT deboli ai 4 arti, RCP indifferente, non disturbi sfinterici.</w:t>
      </w:r>
    </w:p>
    <w:p w:rsidR="00C13A97" w:rsidRPr="00C13A97" w:rsidRDefault="00C13A97" w:rsidP="00C13A97">
      <w:pPr>
        <w:spacing w:after="160" w:line="259" w:lineRule="auto"/>
        <w:ind w:left="720"/>
        <w:contextualSpacing/>
        <w:rPr>
          <w:rFonts w:ascii="Arial" w:eastAsia="Calibri" w:hAnsi="Arial" w:cs="Arial"/>
          <w:sz w:val="24"/>
          <w:szCs w:val="24"/>
          <w:lang w:eastAsia="en-US"/>
        </w:rPr>
      </w:pPr>
      <w:r w:rsidRPr="00C13A97">
        <w:rPr>
          <w:rFonts w:ascii="Arial" w:eastAsia="Calibri" w:hAnsi="Arial" w:cs="Arial"/>
          <w:sz w:val="24"/>
          <w:szCs w:val="24"/>
          <w:lang w:eastAsia="en-US"/>
        </w:rPr>
        <w:t>Esegue rachicentesi diagnostica.</w:t>
      </w:r>
    </w:p>
    <w:p w:rsidR="00C13A97" w:rsidRPr="00C13A97" w:rsidRDefault="00C13A97" w:rsidP="00C13A97">
      <w:pPr>
        <w:spacing w:after="160" w:line="259" w:lineRule="auto"/>
        <w:ind w:left="720"/>
        <w:contextualSpacing/>
        <w:rPr>
          <w:rFonts w:ascii="Arial" w:eastAsia="Calibri" w:hAnsi="Arial" w:cs="Arial"/>
          <w:sz w:val="24"/>
          <w:szCs w:val="24"/>
          <w:lang w:eastAsia="en-US"/>
        </w:rPr>
      </w:pPr>
      <w:r w:rsidRPr="00C13A97">
        <w:rPr>
          <w:rFonts w:ascii="Arial" w:eastAsia="Calibri" w:hAnsi="Arial" w:cs="Arial"/>
          <w:sz w:val="24"/>
          <w:szCs w:val="24"/>
          <w:lang w:eastAsia="en-US"/>
        </w:rPr>
        <w:t>Ipotesi diagnostica ed approccio terapeutico alla luce del quadro clinico-anamnestico e dell’esame liquorale allegato.</w:t>
      </w:r>
    </w:p>
    <w:p w:rsidR="00C13A97" w:rsidRDefault="00C13A97"/>
    <w:p w:rsidR="00F052D1" w:rsidRPr="00C13A97" w:rsidRDefault="00F052D1" w:rsidP="00F052D1">
      <w:pPr>
        <w:rPr>
          <w:rFonts w:ascii="Arial" w:hAnsi="Arial" w:cs="Arial"/>
        </w:rPr>
      </w:pPr>
      <w:r w:rsidRPr="00C13A97">
        <w:rPr>
          <w:rFonts w:ascii="Arial" w:hAnsi="Arial" w:cs="Arial"/>
        </w:rPr>
        <w:t xml:space="preserve">PROVA </w:t>
      </w:r>
      <w:r>
        <w:rPr>
          <w:rFonts w:ascii="Arial" w:hAnsi="Arial" w:cs="Arial"/>
        </w:rPr>
        <w:t>ORALE</w:t>
      </w:r>
      <w:bookmarkStart w:id="0" w:name="_GoBack"/>
      <w:bookmarkEnd w:id="0"/>
      <w:r w:rsidRPr="00C13A97">
        <w:rPr>
          <w:rFonts w:ascii="Arial" w:hAnsi="Arial" w:cs="Arial"/>
        </w:rPr>
        <w:t>:</w:t>
      </w:r>
    </w:p>
    <w:p w:rsidR="00F052D1" w:rsidRDefault="00F052D1"/>
    <w:p w:rsidR="00F052D1" w:rsidRDefault="00F052D1"/>
    <w:p w:rsidR="00F052D1" w:rsidRPr="00F052D1" w:rsidRDefault="00F052D1" w:rsidP="00F052D1">
      <w:pPr>
        <w:numPr>
          <w:ilvl w:val="0"/>
          <w:numId w:val="4"/>
        </w:numPr>
        <w:rPr>
          <w:rFonts w:ascii="Arial" w:hAnsi="Arial" w:cs="Arial"/>
          <w:sz w:val="24"/>
          <w:szCs w:val="24"/>
        </w:rPr>
      </w:pPr>
      <w:r w:rsidRPr="00F052D1">
        <w:rPr>
          <w:rFonts w:ascii="Arial" w:hAnsi="Arial" w:cs="Arial"/>
          <w:sz w:val="24"/>
          <w:szCs w:val="24"/>
        </w:rPr>
        <w:t>Inquadramento clinico, diagnostico e terapeutico della Miastenia Gravis</w:t>
      </w:r>
    </w:p>
    <w:p w:rsidR="00F052D1" w:rsidRPr="00F052D1" w:rsidRDefault="00F052D1" w:rsidP="00F052D1">
      <w:pPr>
        <w:ind w:left="720"/>
        <w:rPr>
          <w:rFonts w:ascii="Arial" w:hAnsi="Arial" w:cs="Arial"/>
          <w:sz w:val="24"/>
          <w:szCs w:val="24"/>
          <w:highlight w:val="yellow"/>
        </w:rPr>
      </w:pPr>
    </w:p>
    <w:p w:rsidR="00F052D1" w:rsidRPr="00F052D1" w:rsidRDefault="00F052D1" w:rsidP="00F052D1">
      <w:pPr>
        <w:numPr>
          <w:ilvl w:val="0"/>
          <w:numId w:val="4"/>
        </w:numPr>
        <w:rPr>
          <w:rFonts w:ascii="Arial" w:hAnsi="Arial" w:cs="Arial"/>
          <w:sz w:val="24"/>
          <w:szCs w:val="24"/>
        </w:rPr>
      </w:pPr>
      <w:r w:rsidRPr="00F052D1">
        <w:rPr>
          <w:rFonts w:ascii="Arial" w:hAnsi="Arial" w:cs="Arial"/>
          <w:sz w:val="24"/>
          <w:szCs w:val="24"/>
        </w:rPr>
        <w:t>Inquadramento clinico, diagnostico e terapeutico della NMOSD (neuromielite ottica)</w:t>
      </w:r>
    </w:p>
    <w:p w:rsidR="00F052D1" w:rsidRPr="00F052D1" w:rsidRDefault="00F052D1" w:rsidP="00F052D1">
      <w:pPr>
        <w:rPr>
          <w:rFonts w:ascii="Arial" w:hAnsi="Arial" w:cs="Arial"/>
          <w:sz w:val="24"/>
          <w:szCs w:val="24"/>
        </w:rPr>
      </w:pPr>
    </w:p>
    <w:p w:rsidR="00F052D1" w:rsidRPr="00F052D1" w:rsidRDefault="00F052D1" w:rsidP="00F052D1">
      <w:pPr>
        <w:numPr>
          <w:ilvl w:val="0"/>
          <w:numId w:val="4"/>
        </w:numPr>
        <w:rPr>
          <w:rFonts w:ascii="Arial" w:hAnsi="Arial" w:cs="Arial"/>
          <w:sz w:val="24"/>
          <w:szCs w:val="24"/>
        </w:rPr>
      </w:pPr>
      <w:r w:rsidRPr="00F052D1">
        <w:rPr>
          <w:rFonts w:ascii="Arial" w:hAnsi="Arial" w:cs="Arial"/>
          <w:sz w:val="24"/>
          <w:szCs w:val="24"/>
        </w:rPr>
        <w:t>Gestione dello stato di male epilettico</w:t>
      </w:r>
    </w:p>
    <w:p w:rsidR="00F052D1" w:rsidRDefault="00F052D1"/>
    <w:sectPr w:rsidR="00F052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6020F"/>
    <w:multiLevelType w:val="hybridMultilevel"/>
    <w:tmpl w:val="EC7A95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170A71"/>
    <w:multiLevelType w:val="singleLevel"/>
    <w:tmpl w:val="04100017"/>
    <w:lvl w:ilvl="0">
      <w:start w:val="1"/>
      <w:numFmt w:val="lowerLetter"/>
      <w:lvlText w:val="%1)"/>
      <w:lvlJc w:val="left"/>
      <w:pPr>
        <w:tabs>
          <w:tab w:val="num" w:pos="360"/>
        </w:tabs>
        <w:ind w:left="360" w:hanging="360"/>
      </w:pPr>
      <w:rPr>
        <w:rFonts w:hint="default"/>
      </w:rPr>
    </w:lvl>
  </w:abstractNum>
  <w:abstractNum w:abstractNumId="2" w15:restartNumberingAfterBreak="0">
    <w:nsid w:val="4603183E"/>
    <w:multiLevelType w:val="hybridMultilevel"/>
    <w:tmpl w:val="7C9E55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6E2AF5"/>
    <w:multiLevelType w:val="singleLevel"/>
    <w:tmpl w:val="42C25ECC"/>
    <w:lvl w:ilvl="0">
      <w:start w:val="1"/>
      <w:numFmt w:val="decimal"/>
      <w:lvlText w:val="%1) "/>
      <w:legacy w:legacy="1" w:legacySpace="0" w:legacyIndent="283"/>
      <w:lvlJc w:val="left"/>
      <w:pPr>
        <w:ind w:left="283" w:hanging="283"/>
      </w:pPr>
      <w:rPr>
        <w:rFonts w:ascii="Arial" w:hAnsi="Arial" w:hint="default"/>
        <w:b w:val="0"/>
        <w:i w:val="0"/>
        <w:sz w:val="24"/>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EF"/>
    <w:rsid w:val="003B747B"/>
    <w:rsid w:val="00C13A97"/>
    <w:rsid w:val="00C676FB"/>
    <w:rsid w:val="00E15BEF"/>
    <w:rsid w:val="00F052D1"/>
    <w:rsid w:val="00F364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C73C78"/>
  <w15:chartTrackingRefBased/>
  <w15:docId w15:val="{796E5A1B-9395-4A5A-B66F-EC12B22A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47B"/>
    <w:pPr>
      <w:spacing w:after="0" w:line="240" w:lineRule="auto"/>
    </w:pPr>
    <w:rPr>
      <w:rFonts w:ascii="Times New Roman" w:eastAsia="Times New Roman" w:hAnsi="Times New Roman" w:cs="Times New Roman"/>
      <w:sz w:val="26"/>
      <w:szCs w:val="20"/>
      <w:lang w:eastAsia="it-IT"/>
    </w:rPr>
  </w:style>
  <w:style w:type="paragraph" w:styleId="Titolo1">
    <w:name w:val="heading 1"/>
    <w:basedOn w:val="Normale"/>
    <w:next w:val="Normale"/>
    <w:link w:val="Titolo1Carattere"/>
    <w:qFormat/>
    <w:rsid w:val="003B747B"/>
    <w:pPr>
      <w:keepNext/>
      <w:jc w:val="center"/>
      <w:outlineLvl w:val="0"/>
    </w:pPr>
    <w:rPr>
      <w:rFonts w:ascii="Arial" w:hAnsi="Arial"/>
      <w:b/>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B747B"/>
    <w:rPr>
      <w:rFonts w:ascii="Arial" w:eastAsia="Times New Roman" w:hAnsi="Arial" w:cs="Times New Roman"/>
      <w:b/>
      <w:sz w:val="32"/>
      <w:szCs w:val="20"/>
      <w:u w:val="single"/>
      <w:lang w:eastAsia="it-IT"/>
    </w:rPr>
  </w:style>
  <w:style w:type="paragraph" w:styleId="Paragrafoelenco">
    <w:name w:val="List Paragraph"/>
    <w:basedOn w:val="Normale"/>
    <w:uiPriority w:val="34"/>
    <w:qFormat/>
    <w:rsid w:val="003B747B"/>
    <w:pPr>
      <w:autoSpaceDE w:val="0"/>
      <w:autoSpaceDN w:val="0"/>
      <w:adjustRightInd w:val="0"/>
      <w:ind w:left="720"/>
      <w:contextualSpacing/>
      <w:jc w:val="both"/>
    </w:pPr>
    <w:rPr>
      <w:rFonts w:eastAsia="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1831</Words>
  <Characters>10439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 Luisa</dc:creator>
  <cp:keywords/>
  <dc:description/>
  <cp:lastModifiedBy>Masi Luisa</cp:lastModifiedBy>
  <cp:revision>3</cp:revision>
  <dcterms:created xsi:type="dcterms:W3CDTF">2025-05-28T09:46:00Z</dcterms:created>
  <dcterms:modified xsi:type="dcterms:W3CDTF">2025-05-28T09:59:00Z</dcterms:modified>
</cp:coreProperties>
</file>