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2D320A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583865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583865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583865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583865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583865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583865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21/02/2025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583865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354</w:t>
      </w:r>
      <w:r>
        <w:rPr>
          <w:sz w:val="30"/>
          <w:szCs w:val="30"/>
        </w:rPr>
        <w:t xml:space="preserve"> </w:t>
      </w:r>
    </w:p>
    <w:p w:rsidR="000B1CD1" w:rsidRPr="00564580" w:rsidRDefault="00583865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583865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>
        <w:rPr>
          <w:b/>
          <w:sz w:val="30"/>
          <w:szCs w:val="30"/>
        </w:rPr>
        <w:tab/>
      </w:r>
      <w:r w:rsidR="00B8331A">
        <w:rPr>
          <w:b/>
          <w:noProof/>
          <w:sz w:val="30"/>
          <w:szCs w:val="30"/>
        </w:rPr>
        <w:t>FORNITURA DI AGHI E CANNULE  OCCORRENTI PER MESI VENTIQUATTRO - S.C. OCULISTICA - CIG VARI.  AFFIDAMENTO DIRETTO PREVIA CONSULTAZIONE DI PIU' OPERATORI ECONOMICI SULLA PIATTAFORMA MEPA (IMPORTO PRESUNTO EURO  15.300,00 =IVA ESCLUSA)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583865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21/02/2025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583865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583865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583865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conferimento deleghe per adozione atti e provved</w:t>
      </w:r>
      <w:r w:rsidRPr="00B95348">
        <w:rPr>
          <w:i/>
          <w:sz w:val="26"/>
          <w:szCs w:val="26"/>
        </w:rPr>
        <w:t>imenti dei responsabili delle strutture aziendali</w:t>
      </w:r>
      <w:r w:rsidRPr="00B95348">
        <w:rPr>
          <w:sz w:val="26"/>
          <w:szCs w:val="26"/>
        </w:rPr>
        <w:t>", approvato dal Direttore Generale con deliberazione n. 311-2021 del 22 giugno 2021, come modificato con deliberazione del Commissario n. 458-2023 del 24 ottobre 2023;</w:t>
      </w:r>
    </w:p>
    <w:p w:rsidR="000B1CD1" w:rsidRPr="001A788B" w:rsidRDefault="000B1CD1" w:rsidP="00387256">
      <w:pPr>
        <w:ind w:left="284"/>
        <w:rPr>
          <w:sz w:val="26"/>
          <w:szCs w:val="26"/>
        </w:rPr>
      </w:pPr>
    </w:p>
    <w:p w:rsidR="001E535A" w:rsidRDefault="00583865" w:rsidP="001E535A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</w:t>
      </w:r>
      <w:r>
        <w:rPr>
          <w:sz w:val="26"/>
          <w:szCs w:val="26"/>
        </w:rPr>
        <w:t xml:space="preserve"> la normativa in materia di appalti pubblici di importo inferiore alle soglie europee e richiamato in particolare il decreto legislativo 31 marzo 2023, n.36 “Codice dei Contratti Pubblici in attuazione dell’articolo 1 della legge 21 giugno 2022, n.78, reca</w:t>
      </w:r>
      <w:r>
        <w:rPr>
          <w:sz w:val="26"/>
          <w:szCs w:val="26"/>
        </w:rPr>
        <w:t>nte delega al Governo in materia di contratti pubblici” di riferimento della presente procedura (lettera prot. n. 37376/CC/DC del 15/10/2024 – RDO 4730903 – CIG vari);</w:t>
      </w:r>
    </w:p>
    <w:p w:rsidR="001E535A" w:rsidRDefault="001E535A" w:rsidP="001E535A">
      <w:pPr>
        <w:ind w:left="284"/>
        <w:rPr>
          <w:sz w:val="26"/>
          <w:szCs w:val="26"/>
        </w:rPr>
      </w:pPr>
    </w:p>
    <w:p w:rsidR="001E535A" w:rsidRDefault="00583865" w:rsidP="001E535A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il Direttore della S.C. Oculistica ha richiesto di programmare la forni</w:t>
      </w:r>
      <w:r>
        <w:rPr>
          <w:sz w:val="26"/>
          <w:szCs w:val="26"/>
        </w:rPr>
        <w:t xml:space="preserve">tura, per un periodo di mesi dodici, di aghi e cannule; </w:t>
      </w:r>
    </w:p>
    <w:p w:rsidR="001E535A" w:rsidRDefault="001E535A" w:rsidP="001E535A">
      <w:pPr>
        <w:ind w:left="284"/>
        <w:jc w:val="both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D.P.C.M. 11 luglio 2018 "Individuazione delle categorie merceologiche, ai sensi dell'articolo 9, comma 3, del decreto-legge 24 aprile 2014, n.66, convertito, con modificazioni, dalla l</w:t>
      </w:r>
      <w:r>
        <w:rPr>
          <w:sz w:val="26"/>
          <w:szCs w:val="26"/>
        </w:rPr>
        <w:t>egge 23 luglio 2014, n. 89" (G.U. n. 189 del 16/08/2018) e dato atto che i prodotti oggetto del presente provvedimento non rientrano nelle relative categorie merceologiche;</w:t>
      </w:r>
    </w:p>
    <w:p w:rsidR="001E535A" w:rsidRDefault="001E535A" w:rsidP="001E53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disponibili Acco</w:t>
      </w:r>
      <w:r>
        <w:rPr>
          <w:sz w:val="26"/>
          <w:szCs w:val="26"/>
        </w:rPr>
        <w:t>rdi Quadro o Convenzioni attivate da CONSIP S.p.A. ovvero dalla Centrale di Committenza Regionale – S.C.R. Piemonte S.p.A.;</w:t>
      </w:r>
    </w:p>
    <w:p w:rsidR="001E535A" w:rsidRDefault="001E535A" w:rsidP="001E535A">
      <w:pPr>
        <w:ind w:left="284"/>
        <w:jc w:val="both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con richiesta d’offerta prot. n. 37376/CC/DC del 15/10/2024 (CIG vari) è stata pertanto avviata, utilizzando il porta</w:t>
      </w:r>
      <w:r>
        <w:rPr>
          <w:sz w:val="26"/>
          <w:szCs w:val="26"/>
        </w:rPr>
        <w:t xml:space="preserve">le </w:t>
      </w:r>
      <w:hyperlink r:id="rId9" w:history="1">
        <w:r>
          <w:rPr>
            <w:rStyle w:val="Collegamentoipertestuale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affidamento diretto – ai sensi della sopra citata normativa in materia di appalti di valore</w:t>
      </w:r>
      <w:r>
        <w:rPr>
          <w:sz w:val="26"/>
          <w:szCs w:val="26"/>
        </w:rPr>
        <w:t xml:space="preserve"> inferiore alla soglia comunitaria e in particolare ai sensi dell’art. 50 comma 1 lett. b) del D.Lgs. n. 36/2023 (RDO 4730903) – interpellando tutti i fornitori del Mercato Elettronico della Pubblica Amministrazione (Mepa) abilitati alla Categoria “disposi</w:t>
      </w:r>
      <w:r>
        <w:rPr>
          <w:sz w:val="26"/>
          <w:szCs w:val="26"/>
        </w:rPr>
        <w:t>tivi e prodotti medici vari”;</w:t>
      </w:r>
    </w:p>
    <w:p w:rsidR="001E535A" w:rsidRDefault="001E535A" w:rsidP="001E535A">
      <w:pPr>
        <w:pStyle w:val="Paragrafoelenco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di offerta le seguenti Ditte, così come risulta dal prospetto di raffronto:</w:t>
      </w:r>
    </w:p>
    <w:p w:rsidR="001E535A" w:rsidRDefault="001E535A" w:rsidP="001E535A">
      <w:pPr>
        <w:pStyle w:val="Paragrafoelenc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327"/>
        <w:gridCol w:w="1236"/>
        <w:gridCol w:w="2243"/>
        <w:gridCol w:w="1403"/>
        <w:gridCol w:w="1458"/>
      </w:tblGrid>
      <w:tr w:rsidR="002D320A" w:rsidTr="001E535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Descrizione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BEAVER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DIEMME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TECNOFTALMICA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 MED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VISIONIC</w:t>
            </w:r>
          </w:p>
        </w:tc>
      </w:tr>
      <w:tr w:rsidR="002D320A" w:rsidTr="001E535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A" w:rsidRDefault="00583865">
            <w:pPr>
              <w:pStyle w:val="Tito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Lotto n. 1: </w:t>
            </w:r>
          </w:p>
          <w:p w:rsidR="001E535A" w:rsidRDefault="001E535A">
            <w:pPr>
              <w:pStyle w:val="Tito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codice 585037 a Euro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1,65=cad.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C083 a Euro 0,80=cad.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5037 a Euro 1,20=cad.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77010 a Euro 1,25=cad.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SM3900 a Euro 2,30=cad.</w:t>
            </w:r>
          </w:p>
        </w:tc>
      </w:tr>
      <w:tr w:rsidR="002D320A" w:rsidTr="001E535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A" w:rsidRDefault="00583865">
            <w:pPr>
              <w:pStyle w:val="Tito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Lotto n. 2:</w:t>
            </w:r>
          </w:p>
          <w:p w:rsidR="001E535A" w:rsidRDefault="001E535A">
            <w:pPr>
              <w:pStyle w:val="Tito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585176 a Euro 3,5=cad.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C096 a Euro 2,90=cad.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offerto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Codice 77032 a Euro 1,50=cad.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pStyle w:val="Titol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offerto</w:t>
            </w:r>
          </w:p>
        </w:tc>
      </w:tr>
    </w:tbl>
    <w:p w:rsidR="001E535A" w:rsidRDefault="001E535A" w:rsidP="001E535A">
      <w:pPr>
        <w:jc w:val="both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atteso che il Direttore della S.C. Oculistica, a seguito dell’esame delle offerte pervenute così come risulta dalla nota pervenuta alla S.C. Acquisti il  17/02/2025 custodita, ritiene opportuno assegnare la fornitura in oggetto come segue:</w:t>
      </w:r>
    </w:p>
    <w:p w:rsidR="001E535A" w:rsidRDefault="001E535A" w:rsidP="001E535A">
      <w:pPr>
        <w:ind w:left="-76"/>
        <w:jc w:val="both"/>
        <w:rPr>
          <w:sz w:val="26"/>
          <w:szCs w:val="26"/>
        </w:rPr>
      </w:pPr>
    </w:p>
    <w:p w:rsidR="001E535A" w:rsidRDefault="00583865" w:rsidP="001E535A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lotto 1 alla Ditta Visionic, in quanto propone un dispositivo idoneo e che risponde alle esigenze chirurgiche della Struttura interessata; per contro i prodotti offerti dalle altre Ditte risultano essere meno maneggevoli;</w:t>
      </w:r>
    </w:p>
    <w:p w:rsidR="001E535A" w:rsidRDefault="00583865" w:rsidP="001E535A">
      <w:pPr>
        <w:pStyle w:val="Paragrafoelenco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lotto 2 alla Ditta  Tec Med in qua</w:t>
      </w:r>
      <w:r>
        <w:rPr>
          <w:sz w:val="26"/>
          <w:szCs w:val="26"/>
        </w:rPr>
        <w:t xml:space="preserve">nto offre  un prodotto idoneo al prezzo più basso; </w:t>
      </w:r>
    </w:p>
    <w:p w:rsidR="001E535A" w:rsidRDefault="001E535A" w:rsidP="001E535A">
      <w:pPr>
        <w:jc w:val="both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di quanto sopra e ritenuto pertanto aggiudicare, ai sensi della normativa sopra citata in materia di appalti di valore inferiore alla soglia comunitaria, la fornitura in argomento occorrente p</w:t>
      </w:r>
      <w:r>
        <w:rPr>
          <w:sz w:val="26"/>
          <w:szCs w:val="26"/>
        </w:rPr>
        <w:t>er mesi dodici alla S.C. Oculistica, come segue:</w:t>
      </w:r>
    </w:p>
    <w:p w:rsidR="001E535A" w:rsidRDefault="001E535A" w:rsidP="001E535A">
      <w:pPr>
        <w:pStyle w:val="Paragrafoelenco"/>
        <w:rPr>
          <w:sz w:val="26"/>
          <w:szCs w:val="26"/>
        </w:rPr>
      </w:pPr>
    </w:p>
    <w:p w:rsidR="001E535A" w:rsidRDefault="00583865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Ditta VISIONIC – Via Anselmo Torchio, 76 – 14100 ASTI </w:t>
      </w:r>
    </w:p>
    <w:p w:rsidR="001E535A" w:rsidRDefault="00583865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P.IVA: 01333170056 C.F.</w:t>
      </w:r>
      <w:r>
        <w:t xml:space="preserve"> </w:t>
      </w:r>
      <w:r>
        <w:rPr>
          <w:b/>
          <w:sz w:val="26"/>
          <w:szCs w:val="26"/>
          <w:u w:val="single"/>
        </w:rPr>
        <w:t>MSSDVD68R23A479L</w:t>
      </w:r>
    </w:p>
    <w:p w:rsidR="001E535A" w:rsidRDefault="00583865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Offerta n. 322 del 23/10/2024   </w:t>
      </w:r>
    </w:p>
    <w:p w:rsidR="001E535A" w:rsidRDefault="00583865" w:rsidP="001E535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LOTTO 1 – CIG B3729F0C42</w:t>
      </w:r>
    </w:p>
    <w:p w:rsidR="001E535A" w:rsidRDefault="001E535A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</w:p>
    <w:p w:rsidR="001E535A" w:rsidRDefault="00583865" w:rsidP="001E535A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N°6000 Cannule monouso 25 gauge x 7/8” (0,50 x 22mm</w:t>
      </w:r>
      <w:r>
        <w:rPr>
          <w:sz w:val="26"/>
          <w:szCs w:val="26"/>
        </w:rPr>
        <w:t>) terminale angolato lunghezza 9,0 mm. punta piatta  – cod/ref SM3900 -conf. da 10 pz. –  CND A010502 - RDM 103133/R</w:t>
      </w:r>
      <w:r>
        <w:rPr>
          <w:sz w:val="26"/>
          <w:szCs w:val="26"/>
        </w:rPr>
        <w:tab/>
      </w:r>
    </w:p>
    <w:p w:rsidR="001E535A" w:rsidRDefault="00583865" w:rsidP="001E535A">
      <w:pPr>
        <w:ind w:left="4880" w:firstLine="784"/>
        <w:jc w:val="both"/>
        <w:rPr>
          <w:sz w:val="26"/>
          <w:szCs w:val="26"/>
        </w:rPr>
      </w:pPr>
      <w:r>
        <w:rPr>
          <w:sz w:val="26"/>
          <w:szCs w:val="26"/>
        </w:rPr>
        <w:t>a Euro 2,30=cad. + IVA 22%</w:t>
      </w:r>
    </w:p>
    <w:p w:rsidR="001E535A" w:rsidRDefault="001E535A" w:rsidP="001E535A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E535A" w:rsidRDefault="00583865" w:rsidP="001E535A">
      <w:pPr>
        <w:ind w:left="-76"/>
        <w:jc w:val="both"/>
        <w:rPr>
          <w:sz w:val="26"/>
          <w:szCs w:val="26"/>
        </w:rPr>
      </w:pPr>
      <w:r>
        <w:rPr>
          <w:sz w:val="26"/>
          <w:szCs w:val="26"/>
        </w:rPr>
        <w:t>L’importo complessivo presunto della fornitura  ammonta ad Euro 13.800,00 IVA esclusa.</w:t>
      </w:r>
    </w:p>
    <w:p w:rsidR="001E535A" w:rsidRDefault="001E535A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highlight w:val="yellow"/>
          <w:u w:val="single"/>
        </w:rPr>
      </w:pPr>
    </w:p>
    <w:p w:rsidR="001E535A" w:rsidRDefault="001E535A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highlight w:val="yellow"/>
          <w:u w:val="single"/>
        </w:rPr>
      </w:pPr>
    </w:p>
    <w:p w:rsidR="001E535A" w:rsidRDefault="00583865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Ditta  TEC MED S.R.L. – Via Ilaria Alpi, 4 – 00188 ROMA  </w:t>
      </w:r>
    </w:p>
    <w:p w:rsidR="001E535A" w:rsidRDefault="00583865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C.F. 06859310580  P.IVA: 01632541007</w:t>
      </w:r>
    </w:p>
    <w:p w:rsidR="001E535A" w:rsidRDefault="00583865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Offerta n. 1 del  25/10/2025 </w:t>
      </w:r>
    </w:p>
    <w:p w:rsidR="001E535A" w:rsidRDefault="00583865" w:rsidP="001E535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LOTTO 2 – CIG B3729F1D15</w:t>
      </w:r>
    </w:p>
    <w:p w:rsidR="001E535A" w:rsidRDefault="001E535A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highlight w:val="yellow"/>
          <w:u w:val="single"/>
        </w:rPr>
      </w:pPr>
    </w:p>
    <w:p w:rsidR="001E535A" w:rsidRDefault="00583865" w:rsidP="001E535A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8"/>
          <w:szCs w:val="28"/>
        </w:rPr>
        <w:t>N</w:t>
      </w:r>
      <w:r>
        <w:rPr>
          <w:sz w:val="26"/>
          <w:szCs w:val="26"/>
        </w:rPr>
        <w:t>° 1000 Cannule per microchirurgia   Anestesia Subtenoniana 19 G -  cod/ref 77032- conf. da 20 pz. –  CND</w:t>
      </w:r>
      <w:r>
        <w:rPr>
          <w:sz w:val="26"/>
          <w:szCs w:val="26"/>
        </w:rPr>
        <w:t xml:space="preserve"> Q0299- RDM 1551311</w:t>
      </w:r>
      <w:r>
        <w:rPr>
          <w:sz w:val="26"/>
          <w:szCs w:val="26"/>
        </w:rPr>
        <w:tab/>
      </w:r>
    </w:p>
    <w:p w:rsidR="001E535A" w:rsidRDefault="00583865" w:rsidP="001E535A">
      <w:pPr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>a Euro 1,50=cad. + IVA 22%</w:t>
      </w:r>
    </w:p>
    <w:p w:rsidR="001E535A" w:rsidRDefault="001E535A" w:rsidP="001E535A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E535A" w:rsidRDefault="00583865" w:rsidP="001E535A">
      <w:pPr>
        <w:ind w:left="-76"/>
        <w:jc w:val="both"/>
        <w:rPr>
          <w:sz w:val="26"/>
          <w:szCs w:val="26"/>
        </w:rPr>
      </w:pPr>
      <w:r>
        <w:rPr>
          <w:sz w:val="26"/>
          <w:szCs w:val="26"/>
        </w:rPr>
        <w:t>L’importo complessivo presunto della fornitura ammonta ad Euro 1.500,00  IVA esclusa.</w:t>
      </w:r>
    </w:p>
    <w:p w:rsidR="001E535A" w:rsidRDefault="001E535A" w:rsidP="001E535A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E535A" w:rsidRDefault="001E535A" w:rsidP="001E535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rilevato che la spesa complessiva presunta derivante dal presente provvedimento ammonta ad Euro 15.300,00 IVA esclusa.</w:t>
      </w:r>
    </w:p>
    <w:p w:rsidR="001E535A" w:rsidRDefault="001E535A" w:rsidP="001E535A">
      <w:pPr>
        <w:ind w:left="-76"/>
        <w:jc w:val="both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Responsabile unico del progetto, ai sensi del D.lgs. 36/2023, è il Dott. Claudio CALVANO;</w:t>
      </w:r>
    </w:p>
    <w:p w:rsidR="001E535A" w:rsidRDefault="001E535A" w:rsidP="001E535A">
      <w:pPr>
        <w:ind w:left="284"/>
        <w:jc w:val="both"/>
        <w:rPr>
          <w:sz w:val="26"/>
          <w:szCs w:val="26"/>
        </w:rPr>
      </w:pPr>
    </w:p>
    <w:p w:rsidR="001E535A" w:rsidRDefault="00583865" w:rsidP="001E535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constatato che l’adozione del presente provvedimento compete al Dirigente della </w:t>
      </w:r>
      <w:r>
        <w:rPr>
          <w:noProof/>
          <w:sz w:val="26"/>
          <w:szCs w:val="26"/>
        </w:rPr>
        <w:t xml:space="preserve">STRUTTURA COMPLESSA ACQUISTI DI BENI E SERVIZI </w:t>
      </w:r>
      <w:r>
        <w:rPr>
          <w:sz w:val="26"/>
          <w:szCs w:val="26"/>
        </w:rPr>
        <w:t xml:space="preserve"> per il combinato di</w:t>
      </w:r>
      <w:r>
        <w:rPr>
          <w:sz w:val="26"/>
          <w:szCs w:val="26"/>
        </w:rPr>
        <w:t xml:space="preserve">sposto degli artt. 4, 16 e 17 del D. Lgs. 30/3/2001 n. 165 e delle disposizioni regolamentari di cui all’atto aziendale; </w:t>
      </w:r>
    </w:p>
    <w:p w:rsidR="000B1CD1" w:rsidRPr="001A788B" w:rsidRDefault="000B1CD1" w:rsidP="0056539E">
      <w:pPr>
        <w:rPr>
          <w:sz w:val="26"/>
          <w:szCs w:val="26"/>
        </w:rPr>
      </w:pPr>
    </w:p>
    <w:p w:rsidR="000B1CD1" w:rsidRPr="00A77B66" w:rsidRDefault="00583865" w:rsidP="0056539E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0B3273" w:rsidRDefault="00583865" w:rsidP="00DB552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</w:t>
      </w:r>
      <w:r w:rsidRPr="00F85601">
        <w:rPr>
          <w:sz w:val="26"/>
          <w:szCs w:val="26"/>
        </w:rPr>
        <w:t>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0B3273" w:rsidRDefault="00583865" w:rsidP="000B3273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E535A" w:rsidRDefault="00583865" w:rsidP="001E53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alle Ditte VISIONIC di Asti e TEC MED S.</w:t>
      </w:r>
      <w:r>
        <w:rPr>
          <w:sz w:val="26"/>
          <w:szCs w:val="26"/>
        </w:rPr>
        <w:t xml:space="preserve">r.l di Roma,  mediante affidamento diretto ai sensi della normativa in materia di appalti di valore inferiore alla soglia comunitaria e in particolare ai sensi dell’art. 50 comma 1 lett. b) del D.Lgs. n. 36/2023 (RDO 4730903) espletata sul portale </w:t>
      </w:r>
      <w:hyperlink r:id="rId10" w:history="1">
        <w:r w:rsidRPr="001E535A">
          <w:t>www.acquinretepa.it</w:t>
        </w:r>
      </w:hyperlink>
      <w:r>
        <w:rPr>
          <w:sz w:val="26"/>
          <w:szCs w:val="26"/>
        </w:rPr>
        <w:t xml:space="preserve">), la fornitura di aghi e cannule  occorrente per mesi dodici alla S.C. Oculistica, con decorrenza dalla data della stipula del contratto sul portale MEPA (data  prevista 25/02/2025), nei quantitativi </w:t>
      </w:r>
      <w:r>
        <w:rPr>
          <w:sz w:val="26"/>
          <w:szCs w:val="26"/>
        </w:rPr>
        <w:t>presunti e alle condizioni contrattuali così come riportato in premessa;</w:t>
      </w:r>
    </w:p>
    <w:p w:rsidR="001E535A" w:rsidRDefault="001E535A" w:rsidP="001E535A">
      <w:pPr>
        <w:pStyle w:val="Paragrafoelenco"/>
        <w:ind w:left="360"/>
        <w:jc w:val="both"/>
        <w:rPr>
          <w:sz w:val="26"/>
          <w:szCs w:val="26"/>
          <w:highlight w:val="yellow"/>
        </w:rPr>
      </w:pPr>
    </w:p>
    <w:p w:rsidR="001E535A" w:rsidRDefault="00583865" w:rsidP="001E53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il Responsabile unico del progetto, ai sensi del D.lgs. 36/2023, è il Dott. Claudio CALVANO;</w:t>
      </w:r>
    </w:p>
    <w:p w:rsidR="001E535A" w:rsidRDefault="001E535A" w:rsidP="001E535A">
      <w:pPr>
        <w:jc w:val="both"/>
        <w:rPr>
          <w:sz w:val="26"/>
          <w:szCs w:val="26"/>
        </w:rPr>
      </w:pPr>
    </w:p>
    <w:p w:rsidR="001E535A" w:rsidRDefault="00583865" w:rsidP="001E53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provvedim</w:t>
      </w:r>
      <w:r>
        <w:rPr>
          <w:sz w:val="26"/>
          <w:szCs w:val="26"/>
        </w:rPr>
        <w:t>ento, ammontante ad €  18.666,00 (IVA compresa), viene imputata al Bilancio di Previsione dell’Azienda Ospedaliera come sotto rappresentato:</w:t>
      </w:r>
    </w:p>
    <w:p w:rsidR="001E535A" w:rsidRDefault="001E535A" w:rsidP="001E535A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tbl>
      <w:tblPr>
        <w:tblW w:w="89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130"/>
        <w:gridCol w:w="1974"/>
        <w:gridCol w:w="2648"/>
        <w:gridCol w:w="1755"/>
      </w:tblGrid>
      <w:tr w:rsidR="002D320A" w:rsidTr="001E535A">
        <w:trPr>
          <w:trHeight w:val="59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2D320A" w:rsidTr="001E535A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15.555,00        </w:t>
            </w:r>
          </w:p>
        </w:tc>
      </w:tr>
      <w:tr w:rsidR="002D320A" w:rsidTr="001E535A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A" w:rsidRDefault="005838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3.111,00       </w:t>
            </w:r>
          </w:p>
        </w:tc>
      </w:tr>
    </w:tbl>
    <w:p w:rsidR="001E535A" w:rsidRDefault="001E535A" w:rsidP="001E535A">
      <w:pPr>
        <w:pStyle w:val="Paragrafoelenco"/>
        <w:ind w:left="360"/>
        <w:jc w:val="both"/>
        <w:rPr>
          <w:sz w:val="26"/>
          <w:szCs w:val="26"/>
        </w:rPr>
      </w:pPr>
    </w:p>
    <w:p w:rsidR="001E535A" w:rsidRDefault="00583865" w:rsidP="001E535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2D320A" w:rsidTr="001E535A">
        <w:trPr>
          <w:trHeight w:val="378"/>
        </w:trPr>
        <w:tc>
          <w:tcPr>
            <w:tcW w:w="9373" w:type="dxa"/>
            <w:gridSpan w:val="2"/>
          </w:tcPr>
          <w:p w:rsidR="001E535A" w:rsidRDefault="001E535A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2D320A" w:rsidTr="001E535A">
        <w:trPr>
          <w:trHeight w:val="378"/>
        </w:trPr>
        <w:tc>
          <w:tcPr>
            <w:tcW w:w="4428" w:type="dxa"/>
          </w:tcPr>
          <w:p w:rsidR="001E535A" w:rsidRDefault="001E535A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:rsidR="001E535A" w:rsidRDefault="005838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</w:t>
            </w:r>
          </w:p>
          <w:p w:rsidR="001E535A" w:rsidRDefault="0058386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1E535A" w:rsidRDefault="00583865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:rsidR="001E535A" w:rsidRDefault="00583865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 del D.Lgs n 82/2005 e s.m.i.</w:t>
            </w:r>
          </w:p>
        </w:tc>
      </w:tr>
    </w:tbl>
    <w:p w:rsidR="000B1CD1" w:rsidRDefault="000B1CD1" w:rsidP="0056539E"/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3865">
      <w:r>
        <w:separator/>
      </w:r>
    </w:p>
  </w:endnote>
  <w:endnote w:type="continuationSeparator" w:id="0">
    <w:p w:rsidR="00000000" w:rsidRDefault="0058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583865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354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21/02/2025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583865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354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21/02/2025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3865">
      <w:r>
        <w:separator/>
      </w:r>
    </w:p>
  </w:footnote>
  <w:footnote w:type="continuationSeparator" w:id="0">
    <w:p w:rsidR="00000000" w:rsidRDefault="0058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583865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414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2025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7A05321"/>
    <w:multiLevelType w:val="hybridMultilevel"/>
    <w:tmpl w:val="A7421E3E"/>
    <w:lvl w:ilvl="0" w:tplc="00AA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6F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66A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AD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A4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C21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EA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8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4A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326D55"/>
    <w:multiLevelType w:val="hybridMultilevel"/>
    <w:tmpl w:val="3A8EABA4"/>
    <w:lvl w:ilvl="0" w:tplc="B2B0B7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4BE02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00A2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1E78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6FB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16A0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E848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72BEB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4C40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FD4778B"/>
    <w:multiLevelType w:val="hybridMultilevel"/>
    <w:tmpl w:val="BA0AC03E"/>
    <w:lvl w:ilvl="0" w:tplc="8A8EE8A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95C2C3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ABA5EE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148A7C0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9FEB03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F6C919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674D33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D5CF3C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C0483B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1">
    <w:nsid w:val="47B661F3"/>
    <w:multiLevelType w:val="hybridMultilevel"/>
    <w:tmpl w:val="EAB60958"/>
    <w:lvl w:ilvl="0" w:tplc="691CCD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6E1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40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04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29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2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00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AA14504"/>
    <w:multiLevelType w:val="hybridMultilevel"/>
    <w:tmpl w:val="57D4E8B2"/>
    <w:lvl w:ilvl="0" w:tplc="26A8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B329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9E4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8B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8B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A6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CD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62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2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EE94900"/>
    <w:multiLevelType w:val="hybridMultilevel"/>
    <w:tmpl w:val="34CE2D20"/>
    <w:lvl w:ilvl="0" w:tplc="3F620F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DD989C0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230BDC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688398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6FCE9A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1ABFA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9623F1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438C15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7D86AF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1">
    <w:nsid w:val="5EFF22BC"/>
    <w:multiLevelType w:val="hybridMultilevel"/>
    <w:tmpl w:val="FD5EC606"/>
    <w:lvl w:ilvl="0" w:tplc="2F4A6F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0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65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3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6A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C4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A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48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E6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4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1E535A"/>
    <w:rsid w:val="00214464"/>
    <w:rsid w:val="00257B2F"/>
    <w:rsid w:val="002A3322"/>
    <w:rsid w:val="002C6FCF"/>
    <w:rsid w:val="002D320A"/>
    <w:rsid w:val="00344CB7"/>
    <w:rsid w:val="0037320D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A1C3C"/>
    <w:rsid w:val="004A7873"/>
    <w:rsid w:val="00517234"/>
    <w:rsid w:val="00524128"/>
    <w:rsid w:val="00525FE7"/>
    <w:rsid w:val="00561185"/>
    <w:rsid w:val="00564580"/>
    <w:rsid w:val="0056539E"/>
    <w:rsid w:val="00583865"/>
    <w:rsid w:val="00590CC9"/>
    <w:rsid w:val="00591962"/>
    <w:rsid w:val="005B3DFB"/>
    <w:rsid w:val="005B58DD"/>
    <w:rsid w:val="005E0AA6"/>
    <w:rsid w:val="006200BE"/>
    <w:rsid w:val="006432F0"/>
    <w:rsid w:val="006B0349"/>
    <w:rsid w:val="006B6FA0"/>
    <w:rsid w:val="006B738C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26726"/>
    <w:rsid w:val="00840413"/>
    <w:rsid w:val="00840AC3"/>
    <w:rsid w:val="008726D5"/>
    <w:rsid w:val="00877AFC"/>
    <w:rsid w:val="0088356C"/>
    <w:rsid w:val="00890102"/>
    <w:rsid w:val="008A1FFF"/>
    <w:rsid w:val="008F11DD"/>
    <w:rsid w:val="008F3432"/>
    <w:rsid w:val="00906AFB"/>
    <w:rsid w:val="00925443"/>
    <w:rsid w:val="00926C83"/>
    <w:rsid w:val="00984836"/>
    <w:rsid w:val="009B4B0C"/>
    <w:rsid w:val="009F4EAD"/>
    <w:rsid w:val="00A1560C"/>
    <w:rsid w:val="00A27565"/>
    <w:rsid w:val="00A77B66"/>
    <w:rsid w:val="00A80EB1"/>
    <w:rsid w:val="00AC4990"/>
    <w:rsid w:val="00AD5EC4"/>
    <w:rsid w:val="00B005AD"/>
    <w:rsid w:val="00B1587A"/>
    <w:rsid w:val="00B8331A"/>
    <w:rsid w:val="00B87717"/>
    <w:rsid w:val="00B95348"/>
    <w:rsid w:val="00BA1ABF"/>
    <w:rsid w:val="00BA39F4"/>
    <w:rsid w:val="00C558BA"/>
    <w:rsid w:val="00C6666A"/>
    <w:rsid w:val="00CB14CF"/>
    <w:rsid w:val="00CB1CB3"/>
    <w:rsid w:val="00D17D07"/>
    <w:rsid w:val="00D4547E"/>
    <w:rsid w:val="00DB4B3B"/>
    <w:rsid w:val="00DB552D"/>
    <w:rsid w:val="00DE1984"/>
    <w:rsid w:val="00E160D7"/>
    <w:rsid w:val="00E84C3A"/>
    <w:rsid w:val="00E927D6"/>
    <w:rsid w:val="00EB0E8F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1E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F308-8BA9-44E2-A367-FE8F399F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Re Raffaella</cp:lastModifiedBy>
  <cp:revision>2</cp:revision>
  <cp:lastPrinted>2025-02-26T13:11:00Z</cp:lastPrinted>
  <dcterms:created xsi:type="dcterms:W3CDTF">2025-02-26T13:13:00Z</dcterms:created>
  <dcterms:modified xsi:type="dcterms:W3CDTF">2025-02-26T13:13:00Z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